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wordWrap/>
        <w:overflowPunct/>
        <w:topLinePunct w:val="0"/>
        <w:autoSpaceDE/>
        <w:autoSpaceDN/>
        <w:bidi w:val="0"/>
        <w:adjustRightInd/>
        <w:snapToGrid/>
        <w:ind w:right="0"/>
        <w:jc w:val="center"/>
        <w:textAlignment w:val="auto"/>
        <w:rPr>
          <w:rFonts w:hint="default"/>
          <w:lang w:val="en-US" w:eastAsia="zh-CN"/>
        </w:rPr>
      </w:pPr>
      <w:r>
        <w:rPr>
          <w:rFonts w:hint="eastAsia"/>
          <w:lang w:val="en-US" w:eastAsia="zh-CN"/>
        </w:rPr>
        <w:t>2024年3月时政题</w:t>
      </w:r>
    </w:p>
    <w:p>
      <w:pPr>
        <w:pStyle w:val="3"/>
        <w:kinsoku/>
        <w:wordWrap/>
        <w:overflowPunct/>
        <w:topLinePunct w:val="0"/>
        <w:autoSpaceDE/>
        <w:autoSpaceDN/>
        <w:bidi w:val="0"/>
        <w:adjustRightInd/>
        <w:snapToGrid/>
        <w:ind w:right="0"/>
        <w:textAlignment w:val="auto"/>
        <w:rPr>
          <w:rFonts w:hint="eastAsia"/>
          <w:lang w:val="en-US" w:eastAsia="zh-CN"/>
        </w:rPr>
      </w:pPr>
      <w:r>
        <w:rPr>
          <w:rFonts w:hint="eastAsia"/>
          <w:lang w:val="en-US" w:eastAsia="zh-CN"/>
        </w:rPr>
        <w:t>一、单选题。</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1.2024年3月2日，国家医保局、教育部、国家卫生健康委等</w:t>
      </w:r>
      <w:r>
        <w:rPr>
          <w:rFonts w:hint="eastAsia" w:cs="宋体"/>
          <w:kern w:val="0"/>
          <w:sz w:val="21"/>
          <w:szCs w:val="21"/>
          <w:u w:val="none"/>
          <w:lang w:val="en-US" w:eastAsia="zh-CN" w:bidi="ar"/>
        </w:rPr>
        <w:t>五</w:t>
      </w:r>
      <w:r>
        <w:rPr>
          <w:rFonts w:hint="eastAsia" w:ascii="宋体" w:hAnsi="宋体" w:eastAsia="宋体" w:cs="宋体"/>
          <w:kern w:val="0"/>
          <w:sz w:val="21"/>
          <w:szCs w:val="21"/>
          <w:u w:val="none"/>
          <w:lang w:val="en-US" w:eastAsia="zh-CN" w:bidi="ar"/>
        </w:rPr>
        <w:t>部门发布《关于开展儿童参加基本医疗保险专项行动的通知》，明确提出要切实提高儿童参保率，力争到2024年底，（    ）以上新生儿在出生当年参保。</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A.60%</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B.70%</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C.80%</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D.90%</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1.【答案】C。解析：2024年3月2日，国家医保局、教育部、国家卫生健康委等</w:t>
      </w:r>
      <w:r>
        <w:rPr>
          <w:rFonts w:hint="eastAsia" w:cs="宋体"/>
          <w:color w:val="FF0000"/>
          <w:kern w:val="0"/>
          <w:sz w:val="21"/>
          <w:szCs w:val="21"/>
          <w:u w:val="none"/>
          <w:lang w:val="en-US" w:eastAsia="zh-CN" w:bidi="ar"/>
        </w:rPr>
        <w:t>五</w:t>
      </w:r>
      <w:r>
        <w:rPr>
          <w:rFonts w:hint="eastAsia" w:ascii="宋体" w:hAnsi="宋体" w:eastAsia="宋体" w:cs="宋体"/>
          <w:color w:val="FF0000"/>
          <w:kern w:val="0"/>
          <w:sz w:val="21"/>
          <w:szCs w:val="21"/>
          <w:u w:val="none"/>
          <w:lang w:val="en-US" w:eastAsia="zh-CN" w:bidi="ar"/>
        </w:rPr>
        <w:t>部门发布《关于开展儿童参加基本医疗保险专项行动的通知》，明确提出要切实提高儿童参保率，力争到2024年底，80%以上新生儿在出生当年参保。故本题选C。</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2.2024年3月5日，中共中央总书记、国家主席、中央军委主席习近平在参加他所在的十四届全国人大二次会议江苏代表团审议时强调，要牢牢把握高质量发展这个首要任务，因地制宜发展（    ）。</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A.新质生产力</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B.绿色生产力</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C.科技生产力</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D.高效生产力</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答案】A。解析：2024年3月5日，中共中央总书记、国家主席、中央军委主席习近平在参加他所在的十四届全国人大二次会议江苏代表团审议时强调，要牢牢把握高质量发展这个首要任务，因地制宜发展新质生产力。故本题选A。</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3.2024年3月7日，中共中央总书记、国家主席、中央军委主席习近平在出席十四届全国人大二次会议解放军和武警部队代表团全体会议时强调，（    ）是国家战略体系和能力重要组成部分，关系我国经济社会高质量发展，关系国家安全和军事斗争主动，对以中国式现代化全面推进强国建设、民族复兴伟业具有重要意义。</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A.传统领域战略能力</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B.新兴领域战略能力</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C.传统领域创新能力</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D.新兴领域创新能力</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3.【答案】B。解析：2024年3月7日，中共中央总书记、国家主席、中央军委主席习近平在出席十四届全国人大二次会议解放军和武警部队代表团全体会议时强调，新兴领域战略能力是国家战略体系和能力重要组成部分，关系我国经济社会高质量发展，关系国家安全和军事斗争主动，对以中国式现代化全面推进强国建设、民族复兴伟业具有重要意义。故本题选B。</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4.2024年3月1日出版的第5期《求是》杂志发表</w:t>
      </w:r>
      <w:r>
        <w:rPr>
          <w:rFonts w:hint="eastAsia" w:cs="宋体"/>
          <w:kern w:val="0"/>
          <w:sz w:val="21"/>
          <w:szCs w:val="21"/>
          <w:u w:val="none"/>
          <w:lang w:val="en-US" w:eastAsia="zh-CN" w:bidi="ar"/>
        </w:rPr>
        <w:t>了</w:t>
      </w:r>
      <w:r>
        <w:rPr>
          <w:rFonts w:hint="eastAsia" w:ascii="宋体" w:hAnsi="宋体" w:eastAsia="宋体" w:cs="宋体"/>
          <w:kern w:val="0"/>
          <w:sz w:val="21"/>
          <w:szCs w:val="21"/>
          <w:u w:val="none"/>
          <w:lang w:val="en-US" w:eastAsia="zh-CN" w:bidi="ar"/>
        </w:rPr>
        <w:t>中共中央总书记、国家主席、中央军委主席习近平的重要文章《加强和改进人民政协工作  全面发展协商民主》。文章指出，人民政协是中国共产党把（    ）同中国实际相结合的伟大成果，是中国共产党领导各民主党派、无党派人士、人民团体和各族各界人士在政治制度上进行的伟大创造。</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①马克思列宁主义统一战线理论  ②政党理论  ③多党合作理论  ④民主政治理论</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A.①②③</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B.①③④</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C.①②④</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D.②③④</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4.【答案】C。解析：2024年3月1日出版的第5期《求是》杂志发表</w:t>
      </w:r>
      <w:r>
        <w:rPr>
          <w:rFonts w:hint="eastAsia" w:cs="宋体"/>
          <w:color w:val="FF0000"/>
          <w:kern w:val="0"/>
          <w:sz w:val="21"/>
          <w:szCs w:val="21"/>
          <w:u w:val="none"/>
          <w:lang w:val="en-US" w:eastAsia="zh-CN" w:bidi="ar"/>
        </w:rPr>
        <w:t>了</w:t>
      </w:r>
      <w:r>
        <w:rPr>
          <w:rFonts w:hint="eastAsia" w:ascii="宋体" w:hAnsi="宋体" w:eastAsia="宋体" w:cs="宋体"/>
          <w:color w:val="FF0000"/>
          <w:kern w:val="0"/>
          <w:sz w:val="21"/>
          <w:szCs w:val="21"/>
          <w:u w:val="none"/>
          <w:lang w:val="en-US" w:eastAsia="zh-CN" w:bidi="ar"/>
        </w:rPr>
        <w:t>中共中央总书记、国家主席、中央军委主席习近平的重要文章《加强和改进人民政协工作  全面发展协商民主》。文章指出，人民政协是中国共产党把马克思列宁主义统一战线理论、政党理论、民主政治理论同中国实际相结合的伟大成果，是中国共产党领导各民主党派、无党派人士、人民团体和各族各界人士在政治制度上进行的伟大创造。故本题选C。</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5.2024年3月1日上午，2024年春季学期中央党校（国家行政学院）中青年干部培训班在中央党校开班。中共中央总书记、国家主席、中央军委主席习近平作出重要指示强调，年轻干部是党和国家事业发展的生力军，是中国特色社会主义事业的接班人。新征程上，年轻干部重任在肩、大有可为，必须牢记初心使命、顽强拼搏进取，奋力跑好历史的接力棒。关于习近平总书记讲话中对青年干部的指示，下列说法正确的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①要自觉做党的创新理论的笃信笃行者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②要自觉做对党忠诚老实的模范践行者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③要自觉做矢志为民造福的无私奉献者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④要自觉做良好环境生态的有力促进者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A.①②③</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B.①③④</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C.①②④</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D.②③④</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5.【答案】A。解析：2024年3月1日上午，2024年春季学期中央党校（国家行政学院）中青年干部培训班在中央党校开班。中共中央总书记、国家主席、中央军委主席习近平作出重要指示强调，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①②③</w:t>
      </w:r>
      <w:r>
        <w:rPr>
          <w:rFonts w:hint="eastAsia" w:cs="宋体"/>
          <w:color w:val="FF0000"/>
          <w:kern w:val="0"/>
          <w:sz w:val="21"/>
          <w:szCs w:val="21"/>
          <w:u w:val="none"/>
          <w:lang w:val="en-US" w:eastAsia="zh-CN" w:bidi="ar"/>
        </w:rPr>
        <w:t>正确。</w:t>
      </w:r>
      <w:r>
        <w:rPr>
          <w:rFonts w:hint="eastAsia" w:ascii="宋体" w:hAnsi="宋体" w:eastAsia="宋体" w:cs="宋体"/>
          <w:color w:val="FF0000"/>
          <w:kern w:val="0"/>
          <w:sz w:val="21"/>
          <w:szCs w:val="21"/>
          <w:u w:val="none"/>
          <w:lang w:val="en-US" w:eastAsia="zh-CN" w:bidi="ar"/>
        </w:rPr>
        <w:t>故本题选A。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6.在距离山东省莱州市海岸11公里的国家级海洋牧场示范海域，坐落着全国首个“（    ）”融合发展研究试验项目。从国网莱州市供电公司获悉，这一项目2024年前两个月上网电量达1.8485亿千瓦时，</w:t>
      </w:r>
      <w:r>
        <w:rPr>
          <w:rFonts w:hint="eastAsia" w:cs="宋体"/>
          <w:kern w:val="0"/>
          <w:sz w:val="21"/>
          <w:szCs w:val="21"/>
          <w:u w:val="none"/>
          <w:lang w:val="en-US" w:eastAsia="zh-CN" w:bidi="ar"/>
        </w:rPr>
        <w:t>预计</w:t>
      </w:r>
      <w:r>
        <w:rPr>
          <w:rFonts w:hint="eastAsia" w:ascii="宋体" w:hAnsi="宋体" w:eastAsia="宋体" w:cs="宋体"/>
          <w:kern w:val="0"/>
          <w:sz w:val="21"/>
          <w:szCs w:val="21"/>
          <w:u w:val="none"/>
          <w:lang w:val="en-US" w:eastAsia="zh-CN" w:bidi="ar"/>
        </w:rPr>
        <w:t>全年上网电量将突破10亿千瓦时。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A.海上风电+深海油田</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B.海上风电+海洋牧场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C.潮汐能源+深海油田</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D.潮汐能源+海上牧场</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6.【答案】B。解析</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在距离山东省莱州市海岸11公里的国家级海洋牧场示范海域，坐落着全国首个“海上风电+海洋牧场”融合发展研究试验项目。从国网莱州市供电公司获悉，这一项目2024年前两个月上网电量达1.8485亿千瓦时，全年上网电量将突破10亿千瓦时。故本题选B。</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7.2024年3月5日，</w:t>
      </w:r>
      <w:r>
        <w:rPr>
          <w:rFonts w:hint="eastAsia" w:cs="宋体"/>
          <w:kern w:val="0"/>
          <w:sz w:val="21"/>
          <w:szCs w:val="21"/>
          <w:u w:val="none"/>
          <w:lang w:val="en-US" w:eastAsia="zh-CN" w:bidi="ar"/>
        </w:rPr>
        <w:t>（    ）</w:t>
      </w:r>
      <w:r>
        <w:rPr>
          <w:rFonts w:hint="eastAsia" w:ascii="宋体" w:hAnsi="宋体" w:eastAsia="宋体" w:cs="宋体"/>
          <w:kern w:val="0"/>
          <w:sz w:val="21"/>
          <w:szCs w:val="21"/>
          <w:u w:val="none"/>
          <w:lang w:val="en-US" w:eastAsia="zh-CN" w:bidi="ar"/>
        </w:rPr>
        <w:t>B星成功接替A星，在东经105度的静止轨道上恢复业务服务，在国际上首次实现250米分辨率分钟级连续观测。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A.风云二号</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B.风云三号</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C.风云四号</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D.风云五号</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7.【答案】C。解析：2024年3月5日，风云四号B星成功接替A星，在东经105度的静止轨道上恢复业务服务，在国际上首次实现250米分辨率分钟级连续观测。故本题选C。</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【难易程度】易</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default"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【来源】展鸿3月时政模拟题/</w:t>
      </w:r>
      <w:r>
        <w:rPr>
          <w:rFonts w:hint="eastAsia" w:cs="宋体"/>
          <w:color w:val="FF0000"/>
          <w:kern w:val="0"/>
          <w:sz w:val="21"/>
          <w:szCs w:val="21"/>
          <w:u w:val="none"/>
          <w:lang w:val="en-US" w:eastAsia="zh-CN" w:bidi="ar"/>
        </w:rPr>
        <w:t>7</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【原创者】张文静  2024.3</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default"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【原创等级】</w:t>
      </w:r>
      <w:r>
        <w:rPr>
          <w:rFonts w:hint="eastAsia" w:cs="宋体"/>
          <w:color w:val="FF0000"/>
          <w:kern w:val="0"/>
          <w:sz w:val="21"/>
          <w:szCs w:val="21"/>
          <w:u w:val="none"/>
          <w:lang w:val="en-US" w:eastAsia="zh-CN" w:bidi="ar"/>
        </w:rPr>
        <w:t>B</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8.2024年3月8日，中国海油宣布在南海珠江口盆地发现我国首个深水深层大油田——（    ），探明油气地质储量1.02亿吨油当量。该油田是全球核杂岩型凹陷最大的商业发现。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A.开平南油田</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B.大港油田</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C.南海东部油田</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D.长庆油田</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8.【答案】A。解析：2024年3月8日，中国海油宣布在南海珠江口盆地发现我国首个深水深层大油田——开平南油田，探明油气地质储量1.02亿吨油当量。该油田是全球核杂岩型凹陷最大的商业发现。故本题选A。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9.2024年3月3日，国家主席习近平致电夏巴兹·谢里夫，祝贺他当选巴基斯坦伊斯兰共和国总理。习近平强调，中巴两国要赓续传统友谊，加强各领域交流合作，共同打造中巴经济走廊建设升级版，持续深化中巴（    ）关系，构建新时代更加紧密的中巴命运共同体，为两国人民创造更多福祉。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A.全天候战略合作伙伴</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B.建设性合作伙伴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C.全面战略合作伙伴</w:t>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ab/>
      </w:r>
      <w:r>
        <w:rPr>
          <w:rFonts w:hint="eastAsia" w:ascii="宋体" w:hAnsi="宋体" w:eastAsia="宋体" w:cs="宋体"/>
          <w:kern w:val="0"/>
          <w:sz w:val="21"/>
          <w:szCs w:val="21"/>
          <w:u w:val="none"/>
          <w:lang w:val="en-US" w:eastAsia="zh-CN" w:bidi="ar"/>
        </w:rPr>
        <w:t>D.睦邻友好合作伙伴</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9.【答案】A。解析：2024年3月3日，国家主席习近平致电夏巴兹·谢里夫，祝贺他当选巴基斯坦伊斯兰共和国总理。习近平强调，中巴两国要赓续传统友谊，加强各领域交流合作，共同打造中巴经济走廊建设升级版，持续深化中巴全天候战略合作伙伴关系，构建新时代更加紧密的中巴命运共同体，为两国人民创造更多福祉。故本题选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2" w:firstLineChars="200"/>
        <w:jc w:val="left"/>
        <w:textAlignment w:val="auto"/>
        <w:rPr>
          <w:rFonts w:hint="eastAsia" w:ascii="宋体" w:hAnsi="宋体" w:eastAsia="宋体" w:cs="宋体"/>
          <w:b/>
          <w:bCs/>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10.2024年3月16日出版的第6期《求是》杂志发表了中共中央总书记、国家主席、中央军委主席习近平的重要文章《时刻保持解决大党独有难题的清醒和坚定，把党的伟大自我革命进行到底》。文章强调，（    ）。党的二十大深刻总结全面从严治党十年磨一剑的历史性成就，进一步要求全党时刻保持解决大党独有难题的清醒和坚定。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A.兴国必先兴党，治党才能强国</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B.治党必先治国，国强才能党兴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C.治国必先治党，党兴才能国强</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D.兴党必先治党，治国才能国强</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10.【答案】C。解析：2024年3月16日出版的第6期《求是》杂志发表了中共中央总书记、国家主席、中央军委主席习近平的重要文章《时刻保持解决大党独有难题的清醒和坚定，把党的伟大自我革命进行到底》。文章强调，治国必先治党，党兴才能国强。党的二十大深刻总结全面从严治党十年磨一剑的历史性成就，进一步要求全党时刻保持解决大党独有难题的清醒和坚定。故本题选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11.2024年3月24日，国务院总理李强在北京出席中国发展高层论坛2024年年会开幕式，并发表主旨演讲。李强表示，本次年会以“（    ）”为主题，既是对长期以来中国经济发展状况的客观描述，也充分体现了各界对中国经济行稳致远、高质量发展的关注和期许。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A.突破创新的中国</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B.持续发展的中国</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C.行稳致远的中国</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D.开放包容的中国</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11.【答案】B。解析：2024年3月24日，国务院总理李强在北京出席中国发展高层论坛2024年年会开幕式，并发表主旨演讲。李强表示，本次年会以“持续发展的中国”为主题，既是对长期以来中国经济发展状况的客观描述，也充分体现了各界对中国经济行稳致远、高质量发展的关注和期许。故本题选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12.由共青团中央、国务院国资委、国铁集团合作主办的“</w:t>
      </w:r>
      <w:r>
        <w:rPr>
          <w:rFonts w:hint="eastAsia" w:cs="宋体"/>
          <w:b w:val="0"/>
          <w:bCs w:val="0"/>
          <w:kern w:val="0"/>
          <w:sz w:val="21"/>
          <w:szCs w:val="21"/>
          <w:u w:val="none"/>
          <w:lang w:val="en-US" w:eastAsia="zh-CN" w:bidi="ar"/>
        </w:rPr>
        <w:t>（    ）</w:t>
      </w:r>
      <w:r>
        <w:rPr>
          <w:rFonts w:hint="eastAsia" w:ascii="宋体" w:hAnsi="宋体" w:eastAsia="宋体" w:cs="宋体"/>
          <w:b w:val="0"/>
          <w:bCs w:val="0"/>
          <w:kern w:val="0"/>
          <w:sz w:val="21"/>
          <w:szCs w:val="21"/>
          <w:u w:val="none"/>
          <w:lang w:val="en-US" w:eastAsia="zh-CN" w:bidi="ar"/>
        </w:rPr>
        <w:t>”青年发展计划，2024年将会同海外友好组织机构在32个共建“一带一路”国家开展49个青年发展国际合作项目，持续推动中外青年参与“一带一路”建设。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A.一带一路</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B.共筑丝路</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C.筑梦少年</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D.筑梦丝路</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12.【答案】D。解析：由共青团中央、国务院国资委、国铁集团合作主办的“筑梦丝路”青年发展计划，2024年将会同海外友好组织机构在32个共建“一带一路”国家开展49个青年发展国际合作项目，持续推动中外青年参与“一带一路”建设。故本题选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13.2024年“清朗”系列专项行动将紧紧围绕人民群众的新期待新要求，全面覆盖网上重点领域环节，着力研究破解网络生态新问题新风险，重点开展10项整治任务。下列不属于本次“清朗”系列专项行动的是（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A.2024年节假日网络环境整治</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B.打击违法信息外链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C.整治</w:t>
      </w:r>
      <w:r>
        <w:rPr>
          <w:rFonts w:hint="eastAsia" w:cs="宋体"/>
          <w:b w:val="0"/>
          <w:bCs w:val="0"/>
          <w:kern w:val="0"/>
          <w:sz w:val="21"/>
          <w:szCs w:val="21"/>
          <w:u w:val="none"/>
          <w:lang w:val="en-US" w:eastAsia="zh-CN" w:bidi="ar"/>
        </w:rPr>
        <w:t>“</w:t>
      </w:r>
      <w:r>
        <w:rPr>
          <w:rFonts w:hint="eastAsia" w:ascii="宋体" w:hAnsi="宋体" w:eastAsia="宋体" w:cs="宋体"/>
          <w:b w:val="0"/>
          <w:bCs w:val="0"/>
          <w:kern w:val="0"/>
          <w:sz w:val="21"/>
          <w:szCs w:val="21"/>
          <w:u w:val="none"/>
          <w:lang w:val="en-US" w:eastAsia="zh-CN" w:bidi="ar"/>
        </w:rPr>
        <w:t>自媒体</w:t>
      </w:r>
      <w:r>
        <w:rPr>
          <w:rFonts w:hint="eastAsia" w:cs="宋体"/>
          <w:b w:val="0"/>
          <w:bCs w:val="0"/>
          <w:kern w:val="0"/>
          <w:sz w:val="21"/>
          <w:szCs w:val="21"/>
          <w:u w:val="none"/>
          <w:lang w:val="en-US" w:eastAsia="zh-CN" w:bidi="ar"/>
        </w:rPr>
        <w:t>”</w:t>
      </w:r>
      <w:r>
        <w:rPr>
          <w:rFonts w:hint="eastAsia" w:ascii="宋体" w:hAnsi="宋体" w:eastAsia="宋体" w:cs="宋体"/>
          <w:b w:val="0"/>
          <w:bCs w:val="0"/>
          <w:kern w:val="0"/>
          <w:sz w:val="21"/>
          <w:szCs w:val="21"/>
          <w:u w:val="none"/>
          <w:lang w:val="en-US" w:eastAsia="zh-CN" w:bidi="ar"/>
        </w:rPr>
        <w:t>无底线博流量</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D.规范生成合成内容标识</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13.【答案】A。解析：</w:t>
      </w:r>
      <w:r>
        <w:rPr>
          <w:rFonts w:hint="eastAsia" w:cs="宋体"/>
          <w:color w:val="FF0000"/>
          <w:kern w:val="0"/>
          <w:sz w:val="21"/>
          <w:szCs w:val="21"/>
          <w:u w:val="none"/>
          <w:lang w:val="en-US" w:eastAsia="zh-CN" w:bidi="ar"/>
        </w:rPr>
        <w:t>A项错误，B、C、D三项均正确，</w:t>
      </w:r>
      <w:r>
        <w:rPr>
          <w:rFonts w:hint="eastAsia" w:ascii="宋体" w:hAnsi="宋体" w:eastAsia="宋体" w:cs="宋体"/>
          <w:color w:val="FF0000"/>
          <w:kern w:val="0"/>
          <w:sz w:val="21"/>
          <w:szCs w:val="21"/>
          <w:u w:val="none"/>
          <w:lang w:val="en-US" w:eastAsia="zh-CN" w:bidi="ar"/>
        </w:rPr>
        <w:t>2024年“清朗”系列专项行动将紧紧围绕人民群众的新期待新要求，全面覆盖网上重点领域环节，着力研究破解网络生态新问题新风险，重点开展10项整治任务</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（1）“清朗·2024年春节网络环境整治”专项行动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（2）“清朗·优化营商网络环境——整治涉企侵权信息乱象”专项行动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（3）“清朗·打击违法信息外链”专项行动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（4）“清朗·整治‘自媒体’无底线博流量”专项行动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（5）“清朗·网络直播领域虚假和低俗乱象整治”专项行动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（6）“清朗·规范生成合成内容标识”专项行动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（7）“清朗·2024年暑期未成年人网络环境整治”专项行动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（8）“清朗·规范网络语言文字使用”专项行动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（9）“清朗·整治违规开展互联网新闻信息服务”专项行动</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（10）“清朗·同城版块信息内容问题整治”专项行动。故本题选A。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14.2024年3月21日，联合国大会通过决议，宣布2025年为（    ）。联大21日还通过一份决议，宣布每年的11月15日为预防和打击一切形式跨国有组织犯罪国际日，以提高对一切形式跨国有组织犯罪所构成威胁的认识，并加强相关方面的国际合作。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A.打击犯罪与危险年</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B.世界和平与发展年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C.国际合作与共赢年</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D.国际和平与信任年</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14.【答案】D。解析：2024年3月21日，联合国大会通过决议，宣布2025年为国际和平与信任年。联大21日还通过一份决议，宣布每年的11月15日为预防和打击一切形式跨国有组织犯罪国际日，以提高对一切形式跨国有组织犯罪所构成威胁的认识，并加强相关方面的国际合作。故本题选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15.2024年3月18日，中国海油宣布，我国渤海中北部海域再获亿吨级大发现——（    ），探明石油地质储量1.04亿吨，这是该海域时隔10年再次获得重大油气发现，对进一步夯实我国海上油气资源储量具有重要意义。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A.秦皇岛27-3油田</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B.秦皇岛32-6油田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C.冀东南堡油田</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D.蓬莱19-3油田</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15.【答案】A。解析：2024年3月18日，中国海油宣布，我国渤海中北部海域再获亿吨级大发现——秦皇岛27-3油田，探明石油地质储量1.04亿吨，这是该海域时隔10年再次获得重大油气发现，对进一步夯实我国海上油气资源储量具有重要意义。故本题选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left"/>
        <w:textAlignment w:val="auto"/>
        <w:rPr>
          <w:rFonts w:hint="default" w:ascii="宋体" w:hAnsi="宋体" w:eastAsia="宋体" w:cs="宋体"/>
          <w:kern w:val="0"/>
          <w:sz w:val="21"/>
          <w:szCs w:val="21"/>
          <w:u w:val="none"/>
          <w:lang w:val="en-US" w:eastAsia="zh-CN" w:bidi="ar"/>
        </w:rPr>
      </w:pPr>
    </w:p>
    <w:p>
      <w:pPr>
        <w:pStyle w:val="3"/>
        <w:kinsoku/>
        <w:wordWrap/>
        <w:overflowPunct/>
        <w:topLinePunct w:val="0"/>
        <w:autoSpaceDE/>
        <w:autoSpaceDN/>
        <w:bidi w:val="0"/>
        <w:adjustRightInd/>
        <w:snapToGrid/>
        <w:ind w:right="0"/>
        <w:textAlignment w:val="auto"/>
        <w:rPr>
          <w:rFonts w:hint="eastAsia"/>
          <w:lang w:val="en-US" w:eastAsia="zh-CN"/>
        </w:rPr>
      </w:pPr>
      <w:r>
        <w:rPr>
          <w:rFonts w:hint="eastAsia"/>
          <w:lang w:val="en-US" w:eastAsia="zh-CN"/>
        </w:rPr>
        <w:t>二、多选题。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16.2024年3月13日，国务院印发《推动大规模设备更新和消费品以旧换新行动方案》，提出（    ）行动。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A.实施设备更新</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B.消费品以旧换新</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C.回收循环利用</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D.标准提升</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16.【答案】ABCD。解析：2024年3月13日，国务院印发《推动大规模设备更新和消费品以旧换新行动方案》，提出实施设备更新、消费品以旧换新、回收循环利用、标准提升四大行动。故本题选ABCD。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17.2024年3月15日，国家发展改革委对外发布《促进国家级新区高质量建设行动计划》，行动计划从3方面明确了多项重点任务。在增强新区科技和产业竞争力上的任务有（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A.强化科技创新策源功能</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B.推动跨区域高水平协同创新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C.创新方式对接引进投资项目</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D.支持新区优化重点产业布局</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17.【答案】ABD。解析：2024年3月15日，国家发展改革委对外发布《促进国家级新区高质量建设行动计划》，行动计划从3方面明确了多项重点任务。在增强新区科技和产业竞争力上，包括强化科技创新策源功能、推动跨区域高水平协同创新、巩固提升新区千亿级及主导产业竞争优势、支持新区优化重点产业布局、有序推进智能制造和数字化转型、支持中西部和东北的新区提升产业承接和培育能力、鼓励中央企业深化与新区合作等。在多措并举扩大有效需求上，包括高水平谋划和建设重大项目、常态化开展项目建设靠前服务、创新方式对接引进投资项目、推动特色消费扩容提质、培育消费新业态、进一步发挥临港和开放平台优势、创新拓展双多边合作模式和领域、拓展对外交流合作和展示渠道等。在支持新区深化重点领域改革上，包括扎实推进实施综合改革试点试验、赋予新区更大改革自主权、实施人才引进专项政策、提高新区土地利用效率、加大资金支持保障力度、深入推进提升城市功能品质的改革创新措施等。故本题选AB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18.2024年3月17日，《中共中央办公厅 国务院办公厅关于加强生态环境分区管控的意见》公开发布。意见提出总体要求为：（    ）。意见主要目标为到2025年，生态环境分区管控制度基本建立，全域覆盖、精准科学的生态环境分区管控体系初步形成。到2035年，体系健全、机制顺畅、运行高效的生态环境分区管控制度全面建立，为生态环境根本好转、美丽中国目标基本实现提供有力支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A.生态优先，绿色发展</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B.源头预防，系统保护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C.精准科学，依法管控</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D.明确责任，协调联动</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18.【答案】ABCD。解析：2024年3月17日，《中共中央办公厅 国务院办公厅关于加强生态环境分区管控的意见》公开发布。意见提出总体要求为：生态优先，绿色发展。源头预防，系统保护。精准科学，依法管控。明确责任，协调联动。意见主要目标为到2025年，生态环境分区管控制度基本建立，全域覆盖、精准科学的生态环境分区管控体系初步形成。到2035年，体系健全、机制顺畅、运行高效的生态环境分区管控制度全面建立，为生态环境根本好转、美丽中国目标基本实现提供有力支撑。故本题选ABC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19.截至2023年底，我国充电基础设施累计达859.6万台，同比增加65%。我国已建成世界上（    ）的充电基础设施体系。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A.数量最多</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B.使用年限最长</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C.辐射面积最大</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D.服务车辆最全</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19.【答案】ACD。解析：截至2023年底，我国充电基础设施累计达859.6万台，同比增加65%。我国已建成世界上数量最多、辐射面积最大、服务车辆最全的充电基础设施体系。故本题选ACD。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20.2024年3月22日，2023年度全国十大考古新发现在京公布，下列属于2023年度全国十大考古新发现的有（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A.山东沂水跋山遗址群</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B.安徽郎溪磨盘山遗址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C.湖北荆门屈家岭遗址</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D.河南永城王庄遗址</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20.【答案】ABCD。解析：2024年3月22日，2023年度全国十大考古新发现在京公布，分别为：山东沂水跋山遗址群</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福建平潭壳丘头遗址群</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安徽郎溪磨盘山遗址</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湖北荆门屈家岭遗址</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河南永城王庄遗址</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河南郑州商都书院街墓地</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陕西清涧寨沟遗址</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甘肃礼县四角坪遗址</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山西霍州陈村瓷窑址</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南海西北陆坡一号</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二号沉船遗址。故本题选ABCD。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21.2024年3月20日，中共中央总书记、国家主席、中央军委主席习近平在湖南省长沙市主持召开新时代推动中部地区崛起座谈会并发表重要讲话。习近平强调，要以科技创新引领产业创新，积极培育和发展新质生产力。具体要求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A.立足实体经济这个根基</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B.做大做强先进制造业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C.积极推进新型工业化</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D.淘汰高污染落后产业</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21.【答案】ABC</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解析：2024年3月20日，中共中央总书记、国家主席、中央军委主席习近平在湖南省长沙市主持召开新时代推动中部地区崛起座谈会并发表重要讲话。习近平强调，要以科技创新引领产业创新，积极培育和发展新质生产力。立足实体经济这个根基，做大做强先进制造业，积极推进新型工业化，改造提升传统产业，培育壮大新兴产业，超前布局建设未来产业，加快构建以先进制造业为支撑的现代化产业体系。故本题选AB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p>
    <w:p>
      <w:pPr>
        <w:pStyle w:val="10"/>
        <w:keepNext w:val="0"/>
        <w:keepLines w:val="0"/>
        <w:widowControl/>
        <w:suppressLineNumbers w:val="0"/>
        <w:rPr>
          <w:rFonts w:hint="eastAsia" w:ascii="宋体" w:hAnsi="宋体" w:eastAsia="宋体" w:cs="宋体"/>
          <w:sz w:val="21"/>
          <w:szCs w:val="21"/>
        </w:rPr>
      </w:pPr>
      <w:r>
        <w:rPr>
          <w:rFonts w:hint="eastAsia" w:ascii="宋体" w:hAnsi="宋体" w:eastAsia="宋体" w:cs="宋体"/>
          <w:b w:val="0"/>
          <w:bCs w:val="0"/>
          <w:kern w:val="0"/>
          <w:sz w:val="21"/>
          <w:szCs w:val="21"/>
          <w:u w:val="none"/>
          <w:lang w:val="en-US" w:eastAsia="zh-CN" w:bidi="ar"/>
        </w:rPr>
        <w:t>22.2024年3月20日，中共中央总书记、国家主席、中央军委主席习近平在湖南省长沙市主持召开新时代推动中部地区崛起座谈会并发表重要讲话。</w:t>
      </w:r>
      <w:r>
        <w:rPr>
          <w:rFonts w:hint="eastAsia" w:ascii="宋体" w:hAnsi="宋体" w:eastAsia="宋体" w:cs="宋体"/>
          <w:sz w:val="21"/>
          <w:szCs w:val="21"/>
        </w:rPr>
        <w:t>习近平指出，要推进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结构绿色低碳转型，加快培育壮大绿色低碳产业，加强资源节约集约循环利用。完善流域横向生态保护补偿机制和生态产品价值实现机制，推进产业生态化和生态产业化。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A.产业</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B.能源</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C.制造</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D.交通运输</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22.【答案】ABD。解析：2024年3月20日，中共中央总书记、国家主席、中央军委主席习近平在湖南省长沙市主持召开新时代推动中部地区崛起座谈会并发表重要讲话。习近平指出，要推进产业、能源、交通运输结构绿色低碳转型，加快培育壮大绿色低碳产业，加强资源节约集约循环利用。完善流域横向生态保护补偿机制和生态产品价值实现机制，推进产业生态化和生态产业化。故本题选ABD。</w:t>
      </w:r>
    </w:p>
    <w:p>
      <w:pPr>
        <w:pStyle w:val="10"/>
        <w:keepNext w:val="0"/>
        <w:keepLines w:val="0"/>
        <w:widowControl/>
        <w:suppressLineNumbers w:val="0"/>
        <w:rPr>
          <w:rFonts w:hint="eastAsia" w:ascii="宋体" w:hAnsi="宋体" w:eastAsia="宋体" w:cs="宋体"/>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rPr>
      </w:pPr>
      <w:r>
        <w:rPr>
          <w:rFonts w:hint="eastAsia" w:ascii="宋体" w:hAnsi="宋体" w:eastAsia="宋体" w:cs="宋体"/>
          <w:sz w:val="21"/>
          <w:szCs w:val="21"/>
          <w:lang w:val="en-US" w:eastAsia="zh-CN"/>
        </w:rPr>
        <w:t>23.</w:t>
      </w:r>
      <w:r>
        <w:rPr>
          <w:rFonts w:hint="eastAsia" w:ascii="宋体" w:hAnsi="宋体" w:eastAsia="宋体" w:cs="宋体"/>
          <w:b w:val="0"/>
          <w:bCs w:val="0"/>
          <w:kern w:val="0"/>
          <w:sz w:val="21"/>
          <w:szCs w:val="21"/>
          <w:u w:val="none"/>
          <w:lang w:val="en-US" w:eastAsia="zh-CN" w:bidi="ar"/>
        </w:rPr>
        <w:t>2024年3月20日，中共中央总书记、国家主席、中央军委主席习近平在湖南省长沙市主持召开新时代推动中部地区崛起座谈会并发表重要讲话。</w:t>
      </w:r>
      <w:r>
        <w:rPr>
          <w:rFonts w:hint="eastAsia" w:ascii="宋体" w:hAnsi="宋体" w:eastAsia="宋体" w:cs="宋体"/>
        </w:rPr>
        <w:t>习近平强调，要坚持城乡融合发展，扎实推进乡村全面振兴。</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。进一步改善农村基础设施，加强乡村环境整治，推进农业适度规模经营，促进一二三产业融合发展。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rPr>
      </w:pPr>
      <w:r>
        <w:rPr>
          <w:rFonts w:hint="eastAsia" w:ascii="宋体" w:hAnsi="宋体" w:eastAsia="宋体" w:cs="宋体"/>
          <w:b w:val="0"/>
          <w:bCs w:val="0"/>
          <w:kern w:val="0"/>
          <w:sz w:val="21"/>
          <w:szCs w:val="21"/>
          <w:u w:val="none"/>
          <w:lang w:val="en-US" w:eastAsia="zh-CN" w:bidi="ar"/>
        </w:rPr>
        <w:t>A.</w:t>
      </w:r>
      <w:r>
        <w:rPr>
          <w:rFonts w:hint="eastAsia" w:ascii="宋体" w:hAnsi="宋体" w:eastAsia="宋体" w:cs="宋体"/>
        </w:rPr>
        <w:t>推进以县城为重要载体的新型城镇化建设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rPr>
      </w:pPr>
      <w:r>
        <w:rPr>
          <w:rFonts w:hint="eastAsia" w:ascii="宋体" w:hAnsi="宋体" w:eastAsia="宋体" w:cs="宋体"/>
          <w:b w:val="0"/>
          <w:bCs w:val="0"/>
          <w:kern w:val="0"/>
          <w:sz w:val="21"/>
          <w:szCs w:val="21"/>
          <w:u w:val="none"/>
          <w:lang w:val="en-US" w:eastAsia="zh-CN" w:bidi="ar"/>
        </w:rPr>
        <w:t>B.</w:t>
      </w:r>
      <w:r>
        <w:rPr>
          <w:rFonts w:hint="eastAsia" w:ascii="宋体" w:hAnsi="宋体" w:eastAsia="宋体" w:cs="宋体"/>
        </w:rPr>
        <w:t>推动城乡之间公共资源均衡配置和生产要素自由流动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rPr>
      </w:pPr>
      <w:r>
        <w:rPr>
          <w:rFonts w:hint="eastAsia" w:ascii="宋体" w:hAnsi="宋体" w:eastAsia="宋体" w:cs="宋体"/>
          <w:b w:val="0"/>
          <w:bCs w:val="0"/>
          <w:kern w:val="0"/>
          <w:sz w:val="21"/>
          <w:szCs w:val="21"/>
          <w:u w:val="none"/>
          <w:lang w:val="en-US" w:eastAsia="zh-CN" w:bidi="ar"/>
        </w:rPr>
        <w:t>C.</w:t>
      </w:r>
      <w:r>
        <w:rPr>
          <w:rFonts w:hint="eastAsia" w:ascii="宋体" w:hAnsi="宋体" w:eastAsia="宋体" w:cs="宋体"/>
        </w:rPr>
        <w:t>推动城市基础设施和公共服务向农村延伸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D.推动城乡交通运输与人员流动更加便捷</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23.【答案】ABC。解析：2024年3月20日，中共中央总书记、国家主席、中央军委主席习近平在湖南省长沙市主持召开新时代推动中部地区崛起座谈会并发表重要讲话。习近平强调，要坚持城乡融合发展，扎实推进乡村全面振兴。推进以县城为重要载体的新型城镇化建设，推动城乡之间公共资源均衡配置和生产要素自由流动，推动城市基础设施和公共服务向农村延伸。进一步改善农村基础设施，加强乡村环境整治，推进农业适度规模经营，促进一二三产业融合发展。故本题选AB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lang w:val="en-US" w:eastAsia="zh-CN"/>
        </w:rPr>
      </w:pPr>
    </w:p>
    <w:p>
      <w:pPr>
        <w:pStyle w:val="10"/>
        <w:keepNext w:val="0"/>
        <w:keepLines w:val="0"/>
        <w:widowControl/>
        <w:suppressLineNumbers w:val="0"/>
        <w:rPr>
          <w:rFonts w:hint="eastAsia" w:ascii="宋体" w:hAnsi="宋体" w:eastAsia="宋体" w:cs="宋体"/>
          <w:sz w:val="21"/>
          <w:szCs w:val="21"/>
        </w:rPr>
      </w:pPr>
      <w:r>
        <w:rPr>
          <w:rFonts w:hint="eastAsia" w:ascii="宋体" w:hAnsi="宋体" w:eastAsia="宋体" w:cs="宋体"/>
          <w:b w:val="0"/>
          <w:bCs w:val="0"/>
          <w:kern w:val="0"/>
          <w:sz w:val="21"/>
          <w:szCs w:val="21"/>
          <w:u w:val="none"/>
          <w:lang w:val="en-US" w:eastAsia="zh-CN" w:bidi="ar"/>
        </w:rPr>
        <w:t>24.2024年3月20日，中共中央总书记、国家主席、中央军委主席习近平在湖南省长沙市主持召开新时代推动中部地区崛起座谈会并发表重要讲话。</w:t>
      </w:r>
      <w:r>
        <w:rPr>
          <w:rFonts w:hint="eastAsia" w:ascii="宋体" w:hAnsi="宋体" w:eastAsia="宋体" w:cs="宋体"/>
          <w:sz w:val="21"/>
          <w:szCs w:val="21"/>
        </w:rPr>
        <w:t>习近平指出，要加强与其他重大发展战略的衔接，更好融入和支撑新发展格局。加强与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深度对接，加强与长江经济带发展、黄河流域生态保护和高质量发展的融合联动。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A.京津冀</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B.长三角</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C.陕甘宁</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D.粤港澳大湾区</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24.【答案】ABD。解析：2024年3月20日，中共中央总书记、国家主席、中央军委主席习近平在湖南省长沙市主持召开新时代推动中部地区崛起座谈会并发表重要讲话。习近平指出，要加强与其他重大发展战略的衔接，更好融入和支撑新发展格局。加强与京津冀、长三角、粤港澳大湾区深度对接，加强与长江经济带发展、黄河流域生态保护和高质量发展的融合联动。故本题选ABD。</w:t>
      </w:r>
    </w:p>
    <w:p>
      <w:pPr>
        <w:pStyle w:val="10"/>
        <w:keepNext w:val="0"/>
        <w:keepLines w:val="0"/>
        <w:widowControl/>
        <w:suppressLineNumbers w:val="0"/>
        <w:rPr>
          <w:rFonts w:hint="eastAsia" w:ascii="宋体" w:hAnsi="宋体" w:eastAsia="宋体" w:cs="宋体"/>
          <w:sz w:val="21"/>
          <w:szCs w:val="21"/>
          <w:lang w:val="en-US" w:eastAsia="zh-CN"/>
        </w:rPr>
      </w:pPr>
    </w:p>
    <w:p>
      <w:pPr>
        <w:pStyle w:val="10"/>
        <w:keepNext w:val="0"/>
        <w:keepLines w:val="0"/>
        <w:widowControl/>
        <w:suppressLineNumbers w:val="0"/>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25.</w:t>
      </w:r>
      <w:r>
        <w:rPr>
          <w:rFonts w:hint="eastAsia" w:cs="宋体"/>
          <w:b w:val="0"/>
          <w:bCs w:val="0"/>
          <w:kern w:val="0"/>
          <w:sz w:val="21"/>
          <w:szCs w:val="21"/>
          <w:u w:val="none"/>
          <w:lang w:val="en-US" w:eastAsia="zh-CN" w:bidi="ar"/>
        </w:rPr>
        <w:t>2024年3月7日，</w:t>
      </w:r>
      <w:r>
        <w:rPr>
          <w:rFonts w:hint="eastAsia" w:ascii="宋体" w:hAnsi="宋体" w:eastAsia="宋体" w:cs="宋体"/>
          <w:b w:val="0"/>
          <w:bCs w:val="0"/>
          <w:kern w:val="0"/>
          <w:sz w:val="21"/>
          <w:szCs w:val="21"/>
          <w:u w:val="none"/>
          <w:lang w:val="en-US" w:eastAsia="zh-CN" w:bidi="ar"/>
        </w:rPr>
        <w:t>中共中央总书记、国家主席、中央军委主席习近平在出席十四届全国人大二次会议解放军和武警部队代表团全体会议时强调，要健全完善</w:t>
      </w:r>
      <w:r>
        <w:rPr>
          <w:rFonts w:hint="eastAsia" w:cs="宋体"/>
          <w:b w:val="0"/>
          <w:bCs w:val="0"/>
          <w:kern w:val="0"/>
          <w:sz w:val="21"/>
          <w:szCs w:val="21"/>
          <w:u w:val="none"/>
          <w:lang w:val="en-US" w:eastAsia="zh-CN" w:bidi="ar"/>
        </w:rPr>
        <w:t>（    ）</w:t>
      </w:r>
      <w:r>
        <w:rPr>
          <w:rFonts w:hint="eastAsia" w:ascii="宋体" w:hAnsi="宋体" w:eastAsia="宋体" w:cs="宋体"/>
          <w:b w:val="0"/>
          <w:bCs w:val="0"/>
          <w:kern w:val="0"/>
          <w:sz w:val="21"/>
          <w:szCs w:val="21"/>
          <w:u w:val="none"/>
          <w:lang w:val="en-US" w:eastAsia="zh-CN" w:bidi="ar"/>
        </w:rPr>
        <w:t>等方面制度机制，走好标准通用化路子，提高新兴领域发展整体效益。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A.需求对接</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B.规划衔接</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C.资源共享</w:t>
      </w:r>
      <w:r>
        <w:rPr>
          <w:rFonts w:hint="eastAsia" w:ascii="宋体" w:hAnsi="宋体" w:eastAsia="宋体" w:cs="宋体"/>
          <w:b w:val="0"/>
          <w:bCs w:val="0"/>
          <w:kern w:val="0"/>
          <w:sz w:val="21"/>
          <w:szCs w:val="21"/>
          <w:u w:val="none"/>
          <w:lang w:val="en-US" w:eastAsia="zh-CN" w:bidi="ar"/>
        </w:rPr>
        <w:tab/>
      </w:r>
      <w:r>
        <w:rPr>
          <w:rFonts w:hint="eastAsia" w:ascii="宋体" w:hAnsi="宋体" w:eastAsia="宋体" w:cs="宋体"/>
          <w:b w:val="0"/>
          <w:bCs w:val="0"/>
          <w:kern w:val="0"/>
          <w:sz w:val="21"/>
          <w:szCs w:val="21"/>
          <w:u w:val="none"/>
          <w:lang w:val="en-US" w:eastAsia="zh-CN" w:bidi="ar"/>
        </w:rPr>
        <w:t>D.供给协调</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25.【答案】ABC。解析：2024年3月7日，中共中央总书记、国家主席、中央军委主席习近平在出席十四届全国人大二次会议解放军和武警部队代表团全体会议时强调，要健全完善需求对接、规划衔接、资源共享等方面制度机制，走好标准通用化路子，提高新兴领域发展整体效益。故本题选ABC。</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p>
    <w:p>
      <w:pPr>
        <w:pStyle w:val="3"/>
        <w:kinsoku/>
        <w:wordWrap/>
        <w:overflowPunct/>
        <w:topLinePunct w:val="0"/>
        <w:autoSpaceDE/>
        <w:autoSpaceDN/>
        <w:bidi w:val="0"/>
        <w:adjustRightInd/>
        <w:snapToGrid/>
        <w:ind w:right="0"/>
        <w:textAlignment w:val="auto"/>
        <w:outlineLvl w:val="1"/>
        <w:rPr>
          <w:rFonts w:hint="eastAsia" w:ascii="黑体" w:hAnsi="黑体" w:eastAsia="黑体" w:cs="黑体"/>
          <w:lang w:val="en-US" w:eastAsia="zh-CN"/>
        </w:rPr>
      </w:pPr>
      <w:r>
        <w:rPr>
          <w:rFonts w:hint="eastAsia" w:ascii="黑体" w:hAnsi="黑体" w:eastAsia="黑体" w:cs="黑体"/>
          <w:lang w:val="en-US" w:eastAsia="zh-CN"/>
        </w:rPr>
        <w:t>三、判断题</w:t>
      </w:r>
      <w:r>
        <w:rPr>
          <w:rFonts w:hint="eastAsia" w:cs="黑体"/>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cs="宋体"/>
          <w:b w:val="0"/>
          <w:bCs w:val="0"/>
          <w:kern w:val="0"/>
          <w:sz w:val="21"/>
          <w:szCs w:val="21"/>
          <w:u w:val="none"/>
          <w:lang w:val="en-US" w:eastAsia="zh-CN" w:bidi="ar"/>
        </w:rPr>
        <w:t>26.</w:t>
      </w:r>
      <w:r>
        <w:rPr>
          <w:rFonts w:hint="eastAsia" w:ascii="宋体" w:hAnsi="宋体" w:eastAsia="宋体" w:cs="宋体"/>
          <w:b w:val="0"/>
          <w:bCs w:val="0"/>
          <w:kern w:val="0"/>
          <w:sz w:val="21"/>
          <w:szCs w:val="21"/>
          <w:u w:val="none"/>
          <w:lang w:val="en-US" w:eastAsia="zh-CN" w:bidi="ar"/>
        </w:rPr>
        <w:t>2024年3月3日是第11个“世界野生动植物日”，全球活动主题为“连接人类与地球:探索野生动植物保护中的数字创新”。</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26.【答案】√。解析：2024年3月3日是第11个“世界野生动植物日”，全球活动主题为“连接人类与地球</w:t>
      </w:r>
      <w:r>
        <w:rPr>
          <w:rFonts w:hint="eastAsia" w:cs="宋体"/>
          <w:color w:val="FF0000"/>
          <w:kern w:val="0"/>
          <w:sz w:val="21"/>
          <w:szCs w:val="21"/>
          <w:u w:val="none"/>
          <w:lang w:val="en-US" w:eastAsia="zh-CN" w:bidi="ar"/>
        </w:rPr>
        <w:t>：</w:t>
      </w:r>
      <w:r>
        <w:rPr>
          <w:rFonts w:hint="eastAsia" w:ascii="宋体" w:hAnsi="宋体" w:eastAsia="宋体" w:cs="宋体"/>
          <w:color w:val="FF0000"/>
          <w:kern w:val="0"/>
          <w:sz w:val="21"/>
          <w:szCs w:val="21"/>
          <w:u w:val="none"/>
          <w:lang w:val="en-US" w:eastAsia="zh-CN" w:bidi="ar"/>
        </w:rPr>
        <w:t>探索野生动植物保护中的数字创新”。故本题说法正确。</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cs="宋体"/>
          <w:b w:val="0"/>
          <w:bCs w:val="0"/>
          <w:kern w:val="0"/>
          <w:sz w:val="21"/>
          <w:szCs w:val="21"/>
          <w:u w:val="none"/>
          <w:lang w:val="en-US" w:eastAsia="zh-CN" w:bidi="ar"/>
        </w:rPr>
        <w:t>27.</w:t>
      </w:r>
      <w:r>
        <w:rPr>
          <w:rFonts w:hint="eastAsia" w:ascii="宋体" w:hAnsi="宋体" w:eastAsia="宋体" w:cs="宋体"/>
          <w:b w:val="0"/>
          <w:bCs w:val="0"/>
          <w:kern w:val="0"/>
          <w:sz w:val="21"/>
          <w:szCs w:val="21"/>
          <w:u w:val="none"/>
          <w:lang w:val="en-US" w:eastAsia="zh-CN" w:bidi="ar"/>
        </w:rPr>
        <w:t>2024年3月14日至11月30日期间，瑞士、爱尔兰、匈牙利、奥地利、比利时、卢森堡6个国家持普通护照人员来华经商、旅游观光、探亲访友和过境不超过15天，可免签入境。</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27.【答案】√。解析：2024年3月7日，外交部领事司发布，为进一步促进中外人员往来，中方决定扩大免签国家范围，对瑞士、爱尔兰、匈牙利、奥地利、比利时、卢森堡6个国家持普通护照人员试行免签政策。2024年3月14日至11月30日期间，上述国家持普通护照人员来华经商、旅游观光、探亲访友和过境不超过15天，可免签入境。故本题说法正确。</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28.2024年3月10日，美国荷美邮轮公司“欧罗丹”号邮轮停靠大连。这是自去年9月我国全面恢复国际邮轮运输以来，首艘到访东北城市的国际邮轮。</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28.【答案】×。</w:t>
      </w:r>
      <w:r>
        <w:rPr>
          <w:rFonts w:hint="eastAsia" w:cs="宋体"/>
          <w:color w:val="FF0000"/>
          <w:kern w:val="0"/>
          <w:sz w:val="21"/>
          <w:szCs w:val="21"/>
          <w:u w:val="none"/>
          <w:lang w:val="en-US" w:eastAsia="zh-CN" w:bidi="ar"/>
        </w:rPr>
        <w:t>解析：</w:t>
      </w:r>
      <w:r>
        <w:rPr>
          <w:rFonts w:hint="eastAsia" w:ascii="宋体" w:hAnsi="宋体" w:eastAsia="宋体" w:cs="宋体"/>
          <w:color w:val="FF0000"/>
          <w:kern w:val="0"/>
          <w:sz w:val="21"/>
          <w:szCs w:val="21"/>
          <w:u w:val="none"/>
          <w:lang w:val="en-US" w:eastAsia="zh-CN" w:bidi="ar"/>
        </w:rPr>
        <w:t>2024年3月10日，美国荷美邮轮公司“翠德丹”号邮轮停靠大连。这是自去年9月我国全面恢复国际邮轮运输以来，首艘到访东北城市的国际邮轮。故本题说法错误。</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29.2024年3月15日下午，国家主席习近平在人民大会堂同来华进行国事访问的安哥拉总统洛伦索举行会谈。两国元首宣布，将中安关系提升为全面战略合作伙伴关系。</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29.【答案】√。解析：2024年3月15日下午，国家主席习近平在人民大会堂同来华进行国事访问的安哥拉总统洛伦索举行会谈。两国元首宣布，将中安关系提升为全面战略合作伙伴关系。故本题说法正确。</w:t>
      </w:r>
    </w:p>
    <w:p>
      <w:pPr>
        <w:pStyle w:val="11"/>
        <w:keepNext w:val="0"/>
        <w:keepLines w:val="0"/>
        <w:pageBreakBefore w:val="0"/>
        <w:widowControl w:val="0"/>
        <w:kinsoku/>
        <w:wordWrap/>
        <w:overflowPunct/>
        <w:topLinePunct w:val="0"/>
        <w:autoSpaceDE/>
        <w:autoSpaceDN/>
        <w:bidi w:val="0"/>
        <w:adjustRightInd/>
        <w:snapToGrid/>
        <w:spacing w:after="0" w:afterLines="0"/>
        <w:ind w:right="0"/>
        <w:textAlignment w:val="auto"/>
        <w:rPr>
          <w:rFonts w:hint="eastAsia" w:ascii="宋体" w:hAnsi="宋体" w:eastAsia="宋体" w:cs="宋体"/>
          <w:b w:val="0"/>
          <w:bCs w:val="0"/>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afterLines="0"/>
        <w:ind w:right="0"/>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lang w:val="en-US" w:eastAsia="zh-CN"/>
        </w:rPr>
        <w:t>30.2024年</w:t>
      </w:r>
      <w:r>
        <w:rPr>
          <w:rFonts w:hint="eastAsia" w:ascii="宋体" w:hAnsi="宋体" w:eastAsia="宋体" w:cs="宋体"/>
          <w:b w:val="0"/>
          <w:bCs w:val="0"/>
          <w:kern w:val="0"/>
          <w:sz w:val="21"/>
          <w:szCs w:val="21"/>
          <w:u w:val="none"/>
          <w:lang w:val="en-US" w:eastAsia="zh-CN" w:bidi="ar"/>
        </w:rPr>
        <w:t>3月23日，国家主席习近平同多米尼克总统伯顿互致贺电，庆祝两国建交10周年。</w:t>
      </w:r>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default" w:ascii="宋体" w:hAnsi="宋体" w:eastAsia="宋体" w:cs="宋体"/>
          <w:color w:val="FF0000"/>
          <w:kern w:val="0"/>
          <w:sz w:val="21"/>
          <w:szCs w:val="21"/>
          <w:u w:val="none"/>
          <w:lang w:val="en-US" w:eastAsia="zh-CN" w:bidi="ar"/>
        </w:rPr>
      </w:pPr>
      <w:r>
        <w:rPr>
          <w:rFonts w:hint="eastAsia" w:ascii="宋体" w:hAnsi="宋体" w:eastAsia="宋体" w:cs="宋体"/>
          <w:color w:val="FF0000"/>
          <w:kern w:val="0"/>
          <w:sz w:val="21"/>
          <w:szCs w:val="21"/>
          <w:u w:val="none"/>
          <w:lang w:val="en-US" w:eastAsia="zh-CN" w:bidi="ar"/>
        </w:rPr>
        <w:t>30.【答案】×。解析：2024年3月23日，国家主席习近平同多米尼克总统伯顿互致贺电，庆祝两国建交20周年。故本题说法错误。</w:t>
      </w:r>
      <w:bookmarkStart w:id="0" w:name="_GoBack"/>
      <w:bookmarkEnd w:id="0"/>
    </w:p>
    <w:p>
      <w:pPr>
        <w:pStyle w:val="11"/>
        <w:keepNext w:val="0"/>
        <w:keepLines w:val="0"/>
        <w:pageBreakBefore w:val="0"/>
        <w:widowControl w:val="0"/>
        <w:kinsoku/>
        <w:wordWrap/>
        <w:overflowPunct/>
        <w:topLinePunct w:val="0"/>
        <w:autoSpaceDE/>
        <w:autoSpaceDN/>
        <w:bidi w:val="0"/>
        <w:adjustRightInd/>
        <w:snapToGrid/>
        <w:spacing w:after="0"/>
        <w:ind w:right="0"/>
        <w:jc w:val="both"/>
        <w:textAlignment w:val="auto"/>
        <w:rPr>
          <w:rFonts w:hint="eastAsia" w:ascii="宋体" w:hAnsi="宋体" w:eastAsia="宋体" w:cs="宋体"/>
          <w:color w:val="FF0000"/>
          <w:kern w:val="0"/>
          <w:sz w:val="21"/>
          <w:szCs w:val="21"/>
          <w:u w:val="none"/>
          <w:lang w:val="en-US" w:eastAsia="zh-CN" w:bidi="ar"/>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22791" o:spid="_x0000_s4097" o:spt="136" type="#_x0000_t136" style="position:absolute;left:0pt;height:147.45pt;width:517.95pt;mso-position-horizontal:center;mso-position-horizontal-relative:margin;mso-position-vertical:center;mso-position-vertical-relative:margin;rotation:-2949120f;z-index:-251656192;mso-width-relative:page;mso-height-relative:page;" fillcolor="#D0CECE" filled="t" stroked="f" coordsize="21600,21600" adj="10800">
          <v:path/>
          <v:fill on="t" opacity="32768f" focussize="0,0"/>
          <v:stroke on="f"/>
          <v:imagedata o:title=""/>
          <o:lock v:ext="edit" aspectratio="t"/>
          <v:textpath on="t" fitshape="t" fitpath="t" trim="t" xscale="f" string="展鸿教育" style="font-family:宋体;font-size:36pt;v-same-letter-heights:f;v-text-align:center;"/>
        </v:shape>
      </w:pict>
    </w:r>
    <w:r>
      <w:rPr>
        <w:rFonts w:hint="eastAsia" w:ascii="宋体" w:hAnsi="宋体" w:eastAsia="宋体" w:cs="宋体"/>
        <w:color w:val="C00000"/>
        <w:kern w:val="2"/>
        <w:sz w:val="18"/>
        <w:szCs w:val="24"/>
        <w:u w:val="none"/>
        <w:lang w:val="en-US" w:eastAsia="zh-CN" w:bidi="ar-SA"/>
      </w:rPr>
      <w:drawing>
        <wp:inline distT="0" distB="0" distL="114300" distR="114300">
          <wp:extent cx="1532255" cy="373380"/>
          <wp:effectExtent l="0" t="0" r="10795" b="7620"/>
          <wp:docPr id="32" name="图片 3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宋体"/>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AD558A"/>
    <w:rsid w:val="00F02A14"/>
    <w:rsid w:val="00F13531"/>
    <w:rsid w:val="016245C6"/>
    <w:rsid w:val="01753F17"/>
    <w:rsid w:val="019F1377"/>
    <w:rsid w:val="05051914"/>
    <w:rsid w:val="063E6798"/>
    <w:rsid w:val="074A2528"/>
    <w:rsid w:val="078D1611"/>
    <w:rsid w:val="096B2609"/>
    <w:rsid w:val="0D10137A"/>
    <w:rsid w:val="0D244E26"/>
    <w:rsid w:val="0D5B011C"/>
    <w:rsid w:val="0DB359F8"/>
    <w:rsid w:val="10451771"/>
    <w:rsid w:val="10470193"/>
    <w:rsid w:val="1059101F"/>
    <w:rsid w:val="1211524D"/>
    <w:rsid w:val="12A75314"/>
    <w:rsid w:val="12FE572C"/>
    <w:rsid w:val="13C133CE"/>
    <w:rsid w:val="157E0E4B"/>
    <w:rsid w:val="15A30C01"/>
    <w:rsid w:val="17067464"/>
    <w:rsid w:val="18CD45C3"/>
    <w:rsid w:val="19BB79A1"/>
    <w:rsid w:val="1A4700AD"/>
    <w:rsid w:val="1B614E2F"/>
    <w:rsid w:val="1DC1221D"/>
    <w:rsid w:val="1FB02549"/>
    <w:rsid w:val="216541B8"/>
    <w:rsid w:val="21FB3F4F"/>
    <w:rsid w:val="22635651"/>
    <w:rsid w:val="228F3D7A"/>
    <w:rsid w:val="25CE197B"/>
    <w:rsid w:val="266B541C"/>
    <w:rsid w:val="29954C89"/>
    <w:rsid w:val="29C0238E"/>
    <w:rsid w:val="2BBD04C8"/>
    <w:rsid w:val="2CC118F2"/>
    <w:rsid w:val="2DCA6ECC"/>
    <w:rsid w:val="2F1C56BE"/>
    <w:rsid w:val="2F452CAE"/>
    <w:rsid w:val="2F776BDF"/>
    <w:rsid w:val="32DF2AD1"/>
    <w:rsid w:val="33260700"/>
    <w:rsid w:val="339935C8"/>
    <w:rsid w:val="38DE7398"/>
    <w:rsid w:val="3A2B6F44"/>
    <w:rsid w:val="3AC97F8B"/>
    <w:rsid w:val="3C391726"/>
    <w:rsid w:val="3E7964D0"/>
    <w:rsid w:val="3ED23E32"/>
    <w:rsid w:val="3EE651E8"/>
    <w:rsid w:val="3FF86D84"/>
    <w:rsid w:val="407B453B"/>
    <w:rsid w:val="424E0FC6"/>
    <w:rsid w:val="430D76CD"/>
    <w:rsid w:val="44F435FD"/>
    <w:rsid w:val="46EF3249"/>
    <w:rsid w:val="47250646"/>
    <w:rsid w:val="48B06F92"/>
    <w:rsid w:val="48F50E49"/>
    <w:rsid w:val="49674B8F"/>
    <w:rsid w:val="4A111CB3"/>
    <w:rsid w:val="4A8561FD"/>
    <w:rsid w:val="4AEB2504"/>
    <w:rsid w:val="4B493F03"/>
    <w:rsid w:val="4BEA35E1"/>
    <w:rsid w:val="4CBD7ED0"/>
    <w:rsid w:val="4CF00DD3"/>
    <w:rsid w:val="4DD1744D"/>
    <w:rsid w:val="4DEA4CF4"/>
    <w:rsid w:val="4EA330F5"/>
    <w:rsid w:val="4F4546D4"/>
    <w:rsid w:val="4FA3446B"/>
    <w:rsid w:val="50871DC9"/>
    <w:rsid w:val="51917235"/>
    <w:rsid w:val="5224454D"/>
    <w:rsid w:val="52AB07CA"/>
    <w:rsid w:val="55F34E2C"/>
    <w:rsid w:val="56D133FC"/>
    <w:rsid w:val="57A203EE"/>
    <w:rsid w:val="5AB00C14"/>
    <w:rsid w:val="60F15F42"/>
    <w:rsid w:val="617C3329"/>
    <w:rsid w:val="62685D90"/>
    <w:rsid w:val="637349EC"/>
    <w:rsid w:val="64410989"/>
    <w:rsid w:val="66442670"/>
    <w:rsid w:val="6726313F"/>
    <w:rsid w:val="68064081"/>
    <w:rsid w:val="69034A64"/>
    <w:rsid w:val="699551B0"/>
    <w:rsid w:val="6A615EE7"/>
    <w:rsid w:val="6A7B584F"/>
    <w:rsid w:val="6C1F2CA2"/>
    <w:rsid w:val="6CD175E9"/>
    <w:rsid w:val="6D463172"/>
    <w:rsid w:val="70261C3B"/>
    <w:rsid w:val="704F233D"/>
    <w:rsid w:val="70DC5E11"/>
    <w:rsid w:val="71AD4726"/>
    <w:rsid w:val="77040E3B"/>
    <w:rsid w:val="7AC20F2C"/>
    <w:rsid w:val="7B871525"/>
    <w:rsid w:val="7B9858A9"/>
    <w:rsid w:val="7C43369E"/>
    <w:rsid w:val="93DDA8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2">
    <w:name w:val="heading 1"/>
    <w:basedOn w:val="1"/>
    <w:next w:val="1"/>
    <w:autoRedefine/>
    <w:qFormat/>
    <w:uiPriority w:val="0"/>
    <w:pPr>
      <w:keepNext/>
      <w:keepLines/>
      <w:pageBreakBefore/>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3">
    <w:name w:val="heading 2"/>
    <w:basedOn w:val="1"/>
    <w:next w:val="1"/>
    <w:autoRedefine/>
    <w:unhideWhenUsed/>
    <w:qFormat/>
    <w:uiPriority w:val="0"/>
    <w:pPr>
      <w:keepNext/>
      <w:keepLines/>
      <w:spacing w:before="100" w:beforeLines="100" w:beforeAutospacing="0" w:after="100" w:afterLines="100" w:afterAutospacing="0" w:line="288" w:lineRule="auto"/>
      <w:ind w:firstLine="643" w:firstLineChars="200"/>
      <w:outlineLvl w:val="1"/>
    </w:pPr>
    <w:rPr>
      <w:rFonts w:ascii="黑体" w:hAnsi="黑体" w:eastAsia="黑体"/>
    </w:rPr>
  </w:style>
  <w:style w:type="paragraph" w:styleId="4">
    <w:name w:val="heading 3"/>
    <w:basedOn w:val="1"/>
    <w:next w:val="1"/>
    <w:autoRedefine/>
    <w:unhideWhenUsed/>
    <w:qFormat/>
    <w:uiPriority w:val="0"/>
    <w:pPr>
      <w:keepNext/>
      <w:keepLines/>
      <w:spacing w:before="100" w:beforeLines="100" w:beforeAutospacing="0" w:after="100" w:afterLines="100" w:afterAutospacing="0" w:line="288" w:lineRule="auto"/>
      <w:outlineLvl w:val="2"/>
    </w:pPr>
    <w:rPr>
      <w:rFonts w:ascii="宋体" w:hAnsi="宋体" w:eastAsia="黑体"/>
      <w:color w:val="000000" w:themeColor="text1"/>
      <w14:textFill>
        <w14:solidFill>
          <w14:schemeClr w14:val="tx1"/>
        </w14:solidFill>
      </w14:textFill>
    </w:rPr>
  </w:style>
  <w:style w:type="paragraph" w:styleId="5">
    <w:name w:val="heading 4"/>
    <w:basedOn w:val="1"/>
    <w:next w:val="1"/>
    <w:link w:val="17"/>
    <w:autoRedefine/>
    <w:semiHidden/>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000000" w:themeColor="text1"/>
      <w14:textFill>
        <w14:solidFill>
          <w14:schemeClr w14:val="tx1"/>
        </w14:solidFill>
      </w14:textFill>
    </w:rPr>
  </w:style>
  <w:style w:type="character" w:default="1" w:styleId="14">
    <w:name w:val="Default Paragraph Font"/>
    <w:autoRedefine/>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1"/>
    <w:autoRedefine/>
    <w:qFormat/>
    <w:uiPriority w:val="0"/>
    <w:pPr>
      <w:spacing w:after="120" w:afterLines="0" w:afterAutospacing="0"/>
    </w:pPr>
  </w:style>
  <w:style w:type="paragraph" w:styleId="7">
    <w:name w:val="Body Text Indent"/>
    <w:basedOn w:val="1"/>
    <w:autoRedefine/>
    <w:qFormat/>
    <w:uiPriority w:val="0"/>
    <w:pPr>
      <w:spacing w:after="120" w:afterLines="0" w:afterAutospacing="0"/>
      <w:ind w:left="420" w:leftChars="200"/>
    </w:pPr>
  </w:style>
  <w:style w:type="paragraph" w:styleId="8">
    <w:name w:val="footer"/>
    <w:basedOn w:val="1"/>
    <w:autoRedefine/>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6"/>
    <w:autoRedefine/>
    <w:qFormat/>
    <w:uiPriority w:val="0"/>
    <w:pPr>
      <w:spacing w:line="288" w:lineRule="auto"/>
      <w:ind w:firstLine="420" w:firstLineChars="200"/>
    </w:pPr>
    <w:rPr>
      <w:rFonts w:ascii="宋体" w:hAnsi="宋体" w:eastAsia="宋体" w:cs="宋体"/>
    </w:rPr>
  </w:style>
  <w:style w:type="paragraph" w:styleId="12">
    <w:name w:val="Body Text First Indent 2"/>
    <w:basedOn w:val="7"/>
    <w:next w:val="11"/>
    <w:autoRedefine/>
    <w:qFormat/>
    <w:uiPriority w:val="0"/>
    <w:pPr>
      <w:ind w:firstLine="420" w:firstLineChars="200"/>
    </w:pPr>
  </w:style>
  <w:style w:type="character" w:styleId="15">
    <w:name w:val="Strong"/>
    <w:basedOn w:val="14"/>
    <w:autoRedefine/>
    <w:qFormat/>
    <w:uiPriority w:val="0"/>
    <w:rPr>
      <w:b/>
    </w:rPr>
  </w:style>
  <w:style w:type="character" w:styleId="16">
    <w:name w:val="Emphasis"/>
    <w:basedOn w:val="14"/>
    <w:autoRedefine/>
    <w:qFormat/>
    <w:uiPriority w:val="0"/>
    <w:rPr>
      <w:i/>
    </w:rPr>
  </w:style>
  <w:style w:type="character" w:customStyle="1" w:styleId="17">
    <w:name w:val="标题 4 Char"/>
    <w:link w:val="5"/>
    <w:autoRedefine/>
    <w:qFormat/>
    <w:uiPriority w:val="0"/>
    <w:rPr>
      <w:rFonts w:ascii="宋体" w:hAnsi="宋体" w:eastAsia="宋体" w:cs="Times New Roman"/>
      <w:color w:val="000000" w:themeColor="text1"/>
      <w:sz w:val="22"/>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6093</Words>
  <Characters>6616</Characters>
  <Lines>0</Lines>
  <Paragraphs>0</Paragraphs>
  <TotalTime>11</TotalTime>
  <ScaleCrop>false</ScaleCrop>
  <LinksUpToDate>false</LinksUpToDate>
  <CharactersWithSpaces>7669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2023-08-29T14:51:00Z</dcterms:created>
  <dc:creator>娟</dc:creator>
  <cp:lastModifiedBy>静心</cp:lastModifiedBy>
  <dcterms:modified xsi:type="dcterms:W3CDTF">2024-03-29T06:39:32Z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DE4C3692ED844C308BDDBB2A4D18302D_13</vt:lpwstr>
  </property>
</Properties>
</file>