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default" w:cs="宋体" w:asciiTheme="minorHAnsi" w:hAnsiTheme="minorHAnsi" w:eastAsiaTheme="minorEastAsia"/>
          <w:b/>
          <w:bCs/>
          <w:sz w:val="32"/>
          <w:szCs w:val="32"/>
          <w:lang w:val="en-US" w:eastAsia="zh-CN"/>
        </w:rPr>
      </w:pPr>
      <w:bookmarkStart w:id="1" w:name="_GoBack"/>
      <w:bookmarkEnd w:id="1"/>
      <w:r>
        <w:rPr>
          <w:rFonts w:hint="eastAsia" w:cs="宋体" w:asciiTheme="minorHAnsi" w:hAnsiTheme="minorHAnsi" w:eastAsiaTheme="minorEastAsia"/>
          <w:b/>
          <w:bCs/>
          <w:sz w:val="32"/>
          <w:szCs w:val="32"/>
          <w:lang w:val="en-US" w:eastAsia="zh-CN"/>
        </w:rPr>
        <w:t>热点事件：小微违法治理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一、热点概述</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“三无”老年代步车上路、行人闯红灯、在人行道上停车、“飞线”给电动车充电……这些小微违法行为常常出现在我们的生活中，以至于大家都以“小”视之，甚至见怪不怪。</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所谓小微违法行为，一般指情节轻微，不会即刻对他人合法权益、社会公共利益和社会和谐稳定造成较大影响的违法行为。小微违法行为看似不起眼，但带来的巨大治理成本和潜在风险却不容小觑，绝不能“微小”视之。</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为了防止行人和自行车闯红灯，有的地方在路口设置了可移动栅栏，并且安排专人值守操作；为了防止电动车上楼充电引发火灾，一些小区的电梯里不得不安装专门的智能“阻车器”；为了防止乱停车，很多道路上不得不安装“阻车桩”或石墩子；为了治理泛滥成灾的老年代步车，有的地方不得不提供“补贴”来鼓励市民“淘汰”车辆……凡此种种，海量的小微违法行为牵制了行政与执法部门大量人力、物力与财力，产生的巨大社会治理成本消耗着社会公共资源与广大纳税人缴纳的税款。曾有媒体报道，在我国中部某省会城市，仅管理好一个路口，一年就需要投入48万元。</w:t>
      </w: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1.事实（举例）论证</w:t>
      </w:r>
      <w:r>
        <w:rPr>
          <w:rFonts w:hint="eastAsia" w:hAnsi="宋体" w:cs="宋体"/>
          <w:b/>
          <w:bCs/>
          <w:kern w:val="0"/>
          <w:sz w:val="21"/>
          <w:szCs w:val="21"/>
          <w:lang w:val="en-US" w:eastAsia="zh-CN" w:bidi="ar"/>
        </w:rPr>
        <w:t>：</w:t>
      </w:r>
    </w:p>
    <w:p>
      <w:pPr>
        <w:pStyle w:val="17"/>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1）东莞采用了广东省首创的“小微执法”工作模式，坚持服务为先、包容审慎的柔性执法理念，并于11月8日创新推出一批免罚、从轻处罚、减轻处罚以及免强制清单，高效促进了城市的精细化管理。不仅如此，还有分局正在自主研究如何运用科技赋能于日常的“小微执法”，这更是一次富有巧思的尝试。从“小微执法”中，见证东莞城市管理的智慧与决心。</w:t>
      </w:r>
    </w:p>
    <w:p>
      <w:pPr>
        <w:pStyle w:val="17"/>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eastAsia="zh-CN"/>
        </w:rPr>
      </w:pPr>
      <w:r>
        <w:rPr>
          <w:rFonts w:hint="eastAsia" w:ascii="楷体" w:hAnsi="楷体" w:eastAsia="楷体" w:cs="楷体"/>
          <w:b w:val="0"/>
          <w:bCs w:val="0"/>
          <w:lang w:eastAsia="zh-CN"/>
        </w:rPr>
        <w:t>（</w:t>
      </w:r>
      <w:r>
        <w:rPr>
          <w:rFonts w:hint="eastAsia" w:ascii="楷体" w:hAnsi="楷体" w:eastAsia="楷体" w:cs="楷体"/>
          <w:b w:val="0"/>
          <w:bCs w:val="0"/>
          <w:lang w:val="en-US" w:eastAsia="zh-CN"/>
        </w:rPr>
        <w:t>2）</w:t>
      </w:r>
      <w:r>
        <w:rPr>
          <w:rFonts w:hint="eastAsia" w:ascii="楷体" w:hAnsi="楷体" w:eastAsia="楷体" w:cs="楷体"/>
          <w:b w:val="0"/>
          <w:bCs w:val="0"/>
          <w:lang w:eastAsia="zh-CN"/>
        </w:rPr>
        <w:t>对于“小微违法”行为，国内外有两类应对措施。一种办法是重典治乱。新加坡、德国、日本等都是采用重罚严惩的手段维护城市文明，国内一些城市也尝试过。但这种“一阵风”式的突击治理往往是“水过地皮湿”，回潮很快，无法取得长效。另一种办法是“温柔”说教。通过文明倡议、文明宣言等，号召大家遵守社会公德，虽然也取得一些潜移默化的效果，但总体来说效果太慢。</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2.道理论证：</w:t>
      </w:r>
    </w:p>
    <w:p>
      <w:pPr>
        <w:pStyle w:val="15"/>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eastAsia="楷体" w:cs="楷体"/>
          <w:b w:val="0"/>
          <w:kern w:val="2"/>
          <w:sz w:val="21"/>
          <w:szCs w:val="22"/>
          <w:lang w:val="en-US" w:eastAsia="zh-CN" w:bidi="ar-SA"/>
        </w:rPr>
      </w:pPr>
      <w:r>
        <w:rPr>
          <w:rFonts w:hint="eastAsia" w:ascii="楷体" w:hAnsi="楷体" w:eastAsia="楷体" w:cs="楷体"/>
          <w:b w:val="0"/>
          <w:kern w:val="2"/>
          <w:sz w:val="21"/>
          <w:szCs w:val="22"/>
          <w:lang w:val="en-US" w:eastAsia="zh-CN" w:bidi="ar-SA"/>
        </w:rPr>
        <w:t>（1）孔子说“道之以德，齐之以礼，有耻且格”，司马光说“销恶于未萌，弥祸于未形”。真正告别不文明行为，归根到底要靠公民法治意识和道德素质的提高。眼下，纠正市民不良行为、提高市民文明意识，是我们改善软环境、深化文明城市建设的重要内容。</w:t>
      </w:r>
    </w:p>
    <w:p>
      <w:pPr>
        <w:rPr>
          <w:rFonts w:hint="eastAsia" w:ascii="楷体" w:hAnsi="楷体" w:eastAsia="楷体" w:cs="楷体"/>
          <w:lang w:val="en-US" w:eastAsia="zh-CN"/>
        </w:rPr>
      </w:pPr>
      <w:r>
        <w:rPr>
          <w:rFonts w:hint="eastAsia" w:ascii="楷体" w:hAnsi="楷体" w:eastAsia="楷体" w:cs="楷体"/>
          <w:b w:val="0"/>
          <w:kern w:val="2"/>
          <w:sz w:val="21"/>
          <w:szCs w:val="22"/>
          <w:lang w:val="en-US" w:eastAsia="zh-CN" w:bidi="ar-SA"/>
        </w:rPr>
        <w:t>（2）小微违法行为看似是“少数人犯错，全民来买单”，平摊到每个人身上并不显眼，但海量的违法带来的海量治理成本还是要由全社会整体承担，最终侵蚀的是每个人的福祉和利益。如果任由其发生与蔓延，这些行为将带来负面示范，形成破窗效应，治理成本将更加攀升，并且严重损害法律尊严与社会道德体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3.开头/结尾</w:t>
      </w:r>
      <w:r>
        <w:rPr>
          <w:rFonts w:hint="eastAsia" w:hAnsi="宋体" w:cs="宋体"/>
          <w:b/>
          <w:bCs/>
          <w:kern w:val="0"/>
          <w:sz w:val="21"/>
          <w:szCs w:val="21"/>
          <w:lang w:val="en-US" w:eastAsia="zh-CN" w:bidi="ar"/>
        </w:rPr>
        <w:t>：</w:t>
      </w:r>
    </w:p>
    <w:p>
      <w:pPr>
        <w:pStyle w:val="2"/>
        <w:rPr>
          <w:rFonts w:hint="eastAsia" w:ascii="楷体" w:hAnsi="楷体" w:eastAsia="楷体" w:cs="楷体"/>
          <w:lang w:val="en-US" w:eastAsia="zh-CN"/>
        </w:rPr>
      </w:pPr>
      <w:r>
        <w:rPr>
          <w:rFonts w:hint="eastAsia" w:ascii="楷体" w:hAnsi="楷体" w:eastAsia="楷体" w:cs="楷体"/>
          <w:lang w:val="en-US" w:eastAsia="zh-CN"/>
        </w:rPr>
        <w:t>（1）法治不是“罚治”，“一刀切”不是法治的标准……</w:t>
      </w:r>
    </w:p>
    <w:p>
      <w:pPr>
        <w:rPr>
          <w:rFonts w:hint="eastAsia" w:ascii="楷体" w:hAnsi="楷体" w:eastAsia="楷体" w:cs="楷体"/>
          <w:lang w:val="en-US" w:eastAsia="zh-CN"/>
        </w:rPr>
      </w:pPr>
      <w:r>
        <w:rPr>
          <w:rFonts w:hint="eastAsia" w:ascii="楷体" w:hAnsi="楷体" w:eastAsia="楷体" w:cs="楷体"/>
          <w:lang w:val="en-US" w:eastAsia="zh-CN"/>
        </w:rPr>
        <w:t>（2）现代社会是法治社会，行政管理规范具体而细密，短短几十个字的法条和复杂的现实环境之间，可能出现落差，机械套用法条，就可能出现执法效果和立法初衷偏离的尴尬，执行过程中也就需要一定容错空间……</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8"/>
        <w:ind w:firstLine="440"/>
        <w:rPr>
          <w:rFonts w:hint="default" w:eastAsia="宋体"/>
          <w:lang w:val="en-US" w:eastAsia="zh-CN"/>
        </w:rPr>
      </w:pPr>
      <w:r>
        <w:rPr>
          <w:rFonts w:hint="eastAsia"/>
        </w:rPr>
        <w:t>1.</w:t>
      </w:r>
      <w:r>
        <w:rPr>
          <w:rFonts w:hint="eastAsia"/>
          <w:lang w:val="en-US" w:eastAsia="zh-CN"/>
        </w:rPr>
        <w:t>近期，各地相继出台城市管理轻微违法违规行为“免罚清单”，违法行为轻微并及时改正，未造成危害后果的，不予行政处罚；初次违法且危害后果轻微并及时改正的，不予行政处罚。对此，你怎么看？</w:t>
      </w:r>
    </w:p>
    <w:p>
      <w:pPr>
        <w:pStyle w:val="19"/>
        <w:ind w:firstLine="422"/>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（热点现象类）——答题结构【点题/破题-</w:t>
      </w:r>
      <w:r>
        <w:rPr>
          <w:rFonts w:hint="eastAsia"/>
          <w:lang w:val="en-US" w:eastAsia="zh-CN"/>
        </w:rPr>
        <w:t>意义</w:t>
      </w:r>
      <w:r>
        <w:rPr>
          <w:rFonts w:hint="default"/>
          <w:lang w:val="en-US"/>
        </w:rPr>
        <w:t>-</w:t>
      </w:r>
      <w:r>
        <w:rPr>
          <w:rFonts w:hint="eastAsia"/>
          <w:lang w:val="en-US" w:eastAsia="zh-CN"/>
        </w:rPr>
        <w:t>原因</w:t>
      </w:r>
      <w:r>
        <w:rPr>
          <w:rFonts w:hint="default"/>
          <w:lang w:val="en-US" w:eastAsia="zh-CN"/>
        </w:rPr>
        <w:t>分析</w:t>
      </w:r>
      <w:r>
        <w:rPr>
          <w:rFonts w:hint="eastAsia"/>
        </w:rPr>
        <w:t>-</w:t>
      </w:r>
      <w:r>
        <w:rPr>
          <w:rFonts w:hint="eastAsia"/>
          <w:lang w:val="en-US" w:eastAsia="zh-CN"/>
        </w:rPr>
        <w:t>过渡-</w:t>
      </w:r>
      <w:r>
        <w:rPr>
          <w:rFonts w:hint="eastAsia" w:ascii="楷体" w:hAnsi="楷体" w:eastAsia="楷体"/>
          <w:b/>
          <w:bCs/>
          <w:lang w:val="en-US" w:eastAsia="zh-CN"/>
        </w:rPr>
        <w:t>对策</w:t>
      </w:r>
      <w:r>
        <w:rPr>
          <w:rFonts w:hint="eastAsia"/>
          <w:lang w:val="en-US" w:eastAsia="zh-CN"/>
        </w:rPr>
        <w:t>-</w:t>
      </w:r>
      <w:r>
        <w:rPr>
          <w:rFonts w:hint="eastAsia" w:ascii="楷体" w:hAnsi="楷体" w:eastAsia="楷体" w:cs="楷体"/>
          <w:b/>
          <w:bCs/>
          <w:lang w:val="en-US" w:eastAsia="zh-CN"/>
        </w:rPr>
        <w:t>总结结尾</w:t>
      </w:r>
      <w:r>
        <w:rPr>
          <w:rFonts w:hint="eastAsia"/>
        </w:rPr>
        <w:t>】</w:t>
      </w:r>
    </w:p>
    <w:p>
      <w:pPr>
        <w:pStyle w:val="19"/>
        <w:ind w:firstLine="422"/>
      </w:pPr>
      <w:r>
        <w:rPr>
          <w:rFonts w:hint="eastAsia"/>
        </w:rPr>
        <w:t>◎解题思路</w:t>
      </w:r>
    </w:p>
    <w:p>
      <w:pPr>
        <w:pStyle w:val="19"/>
        <w:ind w:firstLine="422"/>
        <w:rPr>
          <w:rFonts w:hint="eastAsia" w:eastAsia="楷体"/>
          <w:lang w:eastAsia="zh-CN"/>
        </w:rPr>
      </w:pPr>
      <w:r>
        <w:rPr>
          <w:rFonts w:hint="eastAsia"/>
        </w:rPr>
        <w:t>第一步——点题/破题</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在复杂的现实环境之间，如果只是机械的套用法条，就可能出现执法效果和立法初衷偏离的尴尬情况，出台城市管理轻微违法违规行为“免罚清单”，体现了政府对于城市管理的新思考和新尝试……</w:t>
      </w:r>
    </w:p>
    <w:p>
      <w:pPr>
        <w:pStyle w:val="19"/>
        <w:ind w:firstLine="422"/>
        <w:rPr>
          <w:rFonts w:hint="eastAsia"/>
          <w:lang w:val="en-US" w:eastAsia="zh-CN"/>
        </w:rPr>
      </w:pPr>
      <w:r>
        <w:rPr>
          <w:rFonts w:hint="eastAsia"/>
        </w:rPr>
        <w:t>第二步——</w:t>
      </w:r>
      <w:r>
        <w:rPr>
          <w:rFonts w:hint="eastAsia"/>
          <w:lang w:val="en-US" w:eastAsia="zh-CN"/>
        </w:rPr>
        <w:t>意义：</w:t>
      </w:r>
    </w:p>
    <w:p>
      <w:pPr>
        <w:pStyle w:val="2"/>
        <w:rPr>
          <w:rFonts w:hint="eastAsia" w:ascii="楷体" w:hAnsi="楷体" w:eastAsia="楷体" w:cs="楷体"/>
          <w:lang w:val="en-US" w:eastAsia="zh-CN"/>
        </w:rPr>
      </w:pPr>
      <w:r>
        <w:rPr>
          <w:rFonts w:hint="eastAsia" w:ascii="楷体" w:hAnsi="楷体" w:eastAsia="楷体" w:cs="楷体"/>
          <w:lang w:val="en-US" w:eastAsia="zh-CN"/>
        </w:rPr>
        <w:t>其一，提高行政执法效率。实施“免罚清单”可以使行政执法部门更加关注严重违法行为，将有限的执法资源集中在打击重大违法行为上，提高行政执法效率……</w:t>
      </w:r>
    </w:p>
    <w:p>
      <w:pPr>
        <w:rPr>
          <w:rFonts w:hint="eastAsia" w:ascii="楷体" w:hAnsi="楷体" w:eastAsia="楷体" w:cs="楷体"/>
          <w:lang w:val="en-US" w:eastAsia="zh-CN"/>
        </w:rPr>
      </w:pPr>
      <w:r>
        <w:rPr>
          <w:rFonts w:hint="eastAsia" w:ascii="楷体" w:hAnsi="楷体" w:eastAsia="楷体" w:cs="楷体"/>
          <w:lang w:val="en-US" w:eastAsia="zh-CN"/>
        </w:rPr>
        <w:t>其二，提升政府形象。实施“免罚清单”体现了政府对于轻微违法违规行为的宽容和理解，有助于树立政府亲民、为民的形象，增强人民群众对政府的信任和支持……</w:t>
      </w:r>
    </w:p>
    <w:p>
      <w:pPr>
        <w:pStyle w:val="2"/>
        <w:rPr>
          <w:rFonts w:hint="default"/>
          <w:lang w:val="en-US" w:eastAsia="zh-CN"/>
        </w:rPr>
      </w:pPr>
      <w:r>
        <w:rPr>
          <w:rFonts w:hint="eastAsia" w:ascii="楷体" w:hAnsi="楷体" w:cs="楷体"/>
          <w:lang w:val="en-US" w:eastAsia="zh-CN"/>
        </w:rPr>
        <w:t>其三，激发市场活力。通过实施“免罚清单”，可以减少在执法过程中遇到的抵触，也能得到执法对象更多的理解，更好的优化营商环境、从而激发市场活力，促进经济发展</w:t>
      </w:r>
      <w:r>
        <w:rPr>
          <w:rFonts w:hint="eastAsia" w:ascii="楷体" w:hAnsi="楷体" w:eastAsia="楷体" w:cs="楷体"/>
          <w:lang w:val="en-US" w:eastAsia="zh-CN"/>
        </w:rPr>
        <w:t>……</w:t>
      </w:r>
    </w:p>
    <w:p>
      <w:pPr>
        <w:pStyle w:val="19"/>
        <w:ind w:firstLine="422"/>
        <w:rPr>
          <w:rFonts w:hint="default" w:eastAsia="楷体"/>
          <w:lang w:val="en-US" w:eastAsia="zh-CN"/>
        </w:rPr>
      </w:pPr>
      <w:r>
        <w:rPr>
          <w:rFonts w:hint="eastAsia"/>
        </w:rPr>
        <w:t>第</w:t>
      </w:r>
      <w:r>
        <w:rPr>
          <w:rFonts w:hint="eastAsia"/>
          <w:lang w:val="en-US" w:eastAsia="zh-CN"/>
        </w:rPr>
        <w:t>三</w:t>
      </w:r>
      <w:r>
        <w:rPr>
          <w:rFonts w:hint="eastAsia"/>
        </w:rPr>
        <w:t>步——</w:t>
      </w:r>
      <w:r>
        <w:rPr>
          <w:rFonts w:hint="eastAsia"/>
          <w:lang w:val="en-US" w:eastAsia="zh-CN"/>
        </w:rPr>
        <w:t>原因分析：</w:t>
      </w:r>
    </w:p>
    <w:p>
      <w:pPr>
        <w:ind w:firstLine="420"/>
        <w:rPr>
          <w:rFonts w:hint="eastAsia" w:ascii="楷体" w:hAnsi="楷体" w:eastAsia="楷体" w:cs="楷体"/>
          <w:lang w:val="en-US" w:eastAsia="zh-CN"/>
        </w:rPr>
      </w:pPr>
      <w:r>
        <w:rPr>
          <w:rFonts w:hint="eastAsia" w:ascii="楷体" w:hAnsi="楷体" w:eastAsia="楷体" w:cs="楷体"/>
          <w:lang w:val="en-US" w:eastAsia="zh-CN"/>
        </w:rPr>
        <w:t>首先</w:t>
      </w:r>
      <w:r>
        <w:rPr>
          <w:rFonts w:hint="eastAsia" w:ascii="楷体" w:hAnsi="楷体" w:eastAsia="楷体" w:cs="楷体"/>
          <w:lang w:val="en-US"/>
        </w:rPr>
        <w:t>，</w:t>
      </w:r>
      <w:r>
        <w:rPr>
          <w:rFonts w:hint="eastAsia" w:ascii="楷体" w:hAnsi="楷体" w:eastAsia="楷体" w:cs="楷体"/>
          <w:lang w:val="en-US" w:eastAsia="zh-CN"/>
        </w:rPr>
        <w:t>社会治理现实需要。现代社会是法治社会，现有法律无法完全准确囊括各类违法行为，机械套用法条，就可能出现执法效果和立法初衷偏离的尴尬，执行过程中也就需要一定容错空间……</w:t>
      </w:r>
    </w:p>
    <w:p>
      <w:pPr>
        <w:pStyle w:val="2"/>
        <w:rPr>
          <w:rFonts w:hint="eastAsia" w:ascii="楷体" w:hAnsi="楷体" w:eastAsia="楷体" w:cs="楷体"/>
          <w:lang w:val="en-US" w:eastAsia="zh-CN"/>
        </w:rPr>
      </w:pPr>
      <w:r>
        <w:rPr>
          <w:rFonts w:hint="eastAsia"/>
          <w:lang w:val="en-US" w:eastAsia="zh-CN"/>
        </w:rPr>
        <w:t>其次，落实服务型政府的重要实践。采取如此人性化、灵活性的执法方式会让政府的形象更加立体、鲜活，充分体现了向服务型政府转变的信念与决心，彰显人性化温情</w:t>
      </w:r>
      <w:r>
        <w:rPr>
          <w:rFonts w:hint="eastAsia" w:ascii="楷体" w:hAnsi="楷体" w:eastAsia="楷体" w:cs="楷体"/>
          <w:lang w:val="en-US" w:eastAsia="zh-CN"/>
        </w:rPr>
        <w:t>……</w:t>
      </w:r>
    </w:p>
    <w:p>
      <w:pPr>
        <w:pStyle w:val="19"/>
        <w:ind w:firstLine="422"/>
        <w:rPr>
          <w:rFonts w:hint="eastAsia"/>
          <w:lang w:val="en-US" w:eastAsia="zh-CN"/>
        </w:rPr>
      </w:pPr>
      <w:r>
        <w:rPr>
          <w:rFonts w:hint="eastAsia"/>
        </w:rPr>
        <w:t>第</w:t>
      </w:r>
      <w:r>
        <w:rPr>
          <w:rFonts w:hint="eastAsia"/>
          <w:lang w:val="en-US" w:eastAsia="zh-CN"/>
        </w:rPr>
        <w:t>四</w:t>
      </w:r>
      <w:r>
        <w:rPr>
          <w:rFonts w:hint="eastAsia"/>
        </w:rPr>
        <w:t>步——</w:t>
      </w:r>
      <w:r>
        <w:rPr>
          <w:rFonts w:hint="eastAsia"/>
          <w:lang w:val="en-US" w:eastAsia="zh-CN"/>
        </w:rPr>
        <w:t>过渡：</w:t>
      </w:r>
    </w:p>
    <w:p>
      <w:pPr>
        <w:ind w:firstLine="420"/>
        <w:rPr>
          <w:rFonts w:hint="eastAsia" w:ascii="楷体" w:hAnsi="楷体" w:eastAsia="楷体" w:cs="楷体"/>
          <w:lang w:val="en-US"/>
        </w:rPr>
      </w:pPr>
      <w:r>
        <w:rPr>
          <w:rFonts w:hint="eastAsia" w:ascii="楷体" w:hAnsi="楷体" w:eastAsia="楷体" w:cs="楷体"/>
          <w:lang w:val="en-US"/>
        </w:rPr>
        <w:t>当然，实施“免罚清单”也需要在法律法规的框架内进行，确保政策的公正性和合理性</w:t>
      </w:r>
      <w:r>
        <w:rPr>
          <w:rFonts w:hint="eastAsia" w:ascii="楷体" w:hAnsi="楷体" w:eastAsia="楷体" w:cs="楷体"/>
          <w:lang w:val="en-US" w:eastAsia="zh-CN"/>
        </w:rPr>
        <w:t>，执法机关一定要把握好“尺度”，以免造成负面效应……</w:t>
      </w:r>
    </w:p>
    <w:p>
      <w:pPr>
        <w:ind w:firstLine="420"/>
        <w:rPr>
          <w:rFonts w:hint="eastAsia" w:ascii="楷体" w:hAnsi="楷体" w:eastAsia="楷体"/>
          <w:b/>
          <w:bCs/>
          <w:lang w:val="en-US" w:eastAsia="zh-CN"/>
        </w:rPr>
      </w:pPr>
      <w:r>
        <w:rPr>
          <w:rFonts w:ascii="楷体" w:hAnsi="楷体" w:eastAsia="楷体"/>
          <w:b/>
          <w:bCs/>
          <w:lang w:val="en-US"/>
        </w:rPr>
        <w:t>第</w:t>
      </w:r>
      <w:r>
        <w:rPr>
          <w:rFonts w:hint="eastAsia" w:ascii="楷体" w:hAnsi="楷体" w:eastAsia="楷体"/>
          <w:b/>
          <w:bCs/>
          <w:lang w:val="en-US" w:eastAsia="zh-CN"/>
        </w:rPr>
        <w:t>五</w:t>
      </w:r>
      <w:r>
        <w:rPr>
          <w:rFonts w:ascii="楷体" w:hAnsi="楷体" w:eastAsia="楷体"/>
          <w:b/>
          <w:bCs/>
          <w:lang w:val="en-US"/>
        </w:rPr>
        <w:t>步——</w:t>
      </w:r>
      <w:r>
        <w:rPr>
          <w:rFonts w:hint="eastAsia" w:ascii="楷体" w:hAnsi="楷体" w:eastAsia="楷体"/>
          <w:b/>
          <w:bCs/>
          <w:lang w:val="en-US" w:eastAsia="zh-CN"/>
        </w:rPr>
        <w:t>对策：</w:t>
      </w:r>
    </w:p>
    <w:p>
      <w:pPr>
        <w:ind w:firstLine="420"/>
        <w:rPr>
          <w:rFonts w:hint="eastAsia" w:ascii="楷体" w:hAnsi="楷体" w:eastAsia="楷体" w:cs="楷体"/>
          <w:lang w:val="en-US" w:eastAsia="zh-CN"/>
        </w:rPr>
      </w:pPr>
      <w:r>
        <w:rPr>
          <w:rFonts w:hint="eastAsia" w:ascii="楷体" w:hAnsi="楷体" w:eastAsia="楷体" w:cs="楷体"/>
          <w:lang w:val="en-US" w:eastAsia="zh-CN"/>
        </w:rPr>
        <w:t>第一、强化执法能力。加强对执法人员的培训，明确执法程序和标准，规范执法行为，利用现代信息技术提高执法效率和精度，实现执法信息共享和协同作战……</w:t>
      </w:r>
    </w:p>
    <w:p>
      <w:pPr>
        <w:ind w:firstLine="420"/>
        <w:rPr>
          <w:rFonts w:hint="eastAsia" w:ascii="楷体" w:hAnsi="楷体" w:eastAsia="楷体" w:cs="楷体"/>
          <w:lang w:val="en-US" w:eastAsia="zh-CN"/>
        </w:rPr>
      </w:pPr>
      <w:r>
        <w:rPr>
          <w:rFonts w:hint="eastAsia" w:ascii="楷体" w:hAnsi="楷体" w:eastAsia="楷体" w:cs="楷体"/>
          <w:lang w:val="en-US" w:eastAsia="zh-CN"/>
        </w:rPr>
        <w:t>第二、完善监督机制。建立健全“免罚清单”的监督机制，确保其执行过程的公正性和透明度。定期对“免罚清单”的实施情况进行评估和总结，及时发现问题并进行调整……</w:t>
      </w:r>
    </w:p>
    <w:p>
      <w:pPr>
        <w:ind w:firstLine="420"/>
        <w:rPr>
          <w:rFonts w:hint="default"/>
          <w:lang w:val="en-US" w:eastAsia="zh-CN"/>
        </w:rPr>
      </w:pPr>
      <w:r>
        <w:rPr>
          <w:rFonts w:hint="eastAsia" w:ascii="楷体" w:hAnsi="楷体" w:eastAsia="楷体" w:cs="楷体"/>
          <w:lang w:val="en-US" w:eastAsia="zh-CN"/>
        </w:rPr>
        <w:t>第三、鼓励公众参与。通过设立举报热线、奖励制度等方式，鼓励公众参与到城市管理中来，发现和报告轻微违法行为，从而形成全社会共同参与城市管理的良好氛围……</w:t>
      </w:r>
    </w:p>
    <w:p>
      <w:pPr>
        <w:ind w:firstLine="420"/>
        <w:rPr>
          <w:rFonts w:hint="eastAsia" w:ascii="楷体" w:hAnsi="楷体" w:eastAsia="楷体" w:cs="楷体"/>
          <w:b/>
          <w:bCs/>
          <w:lang w:val="en-US" w:eastAsia="zh-CN"/>
        </w:rPr>
      </w:pPr>
      <w:r>
        <w:rPr>
          <w:rFonts w:hint="eastAsia" w:ascii="楷体" w:hAnsi="楷体" w:eastAsia="楷体" w:cs="楷体"/>
          <w:b/>
          <w:bCs/>
          <w:lang w:val="en-US" w:eastAsia="zh-CN"/>
        </w:rPr>
        <w:t>第六步</w:t>
      </w:r>
      <w:r>
        <w:rPr>
          <w:rFonts w:hint="eastAsia" w:ascii="楷体" w:hAnsi="楷体" w:eastAsia="楷体" w:cs="楷体"/>
          <w:b/>
          <w:bCs/>
          <w:lang w:val="en-US"/>
        </w:rPr>
        <w:t>——</w:t>
      </w:r>
      <w:r>
        <w:rPr>
          <w:rFonts w:hint="eastAsia" w:ascii="楷体" w:hAnsi="楷体" w:eastAsia="楷体" w:cs="楷体"/>
          <w:b/>
          <w:bCs/>
          <w:lang w:val="en-US" w:eastAsia="zh-CN"/>
        </w:rPr>
        <w:t>总结结尾：</w:t>
      </w:r>
    </w:p>
    <w:p>
      <w:pPr>
        <w:ind w:firstLine="420"/>
      </w:pPr>
      <w:r>
        <w:rPr>
          <w:rFonts w:hint="eastAsia" w:ascii="楷体" w:hAnsi="楷体" w:eastAsia="楷体" w:cs="楷体"/>
          <w:lang w:val="en-US" w:eastAsia="zh-CN"/>
        </w:rPr>
        <w:t>总而言之，法治不是“罚治”，“一刀切”不是法治的标准。“轻违不罚”人性化执法，是城市治理的积极探索，同时也是一种法治的精细化升级，值得肯定和大胆尝试。我们期待着更多的城市在治理的过程中，既恪守规则，也会用一种细致、精准、有温度的方式来呵护规则，让制度体现善意，让法治保障发展……</w:t>
      </w: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MTk2YWMwNmYyOGExMzMxMWJjNjJhNjA0NGI1ZmIifQ=="/>
  </w:docVars>
  <w:rsids>
    <w:rsidRoot w:val="00000000"/>
    <w:rsid w:val="00915910"/>
    <w:rsid w:val="009F1215"/>
    <w:rsid w:val="01E92DC0"/>
    <w:rsid w:val="02713142"/>
    <w:rsid w:val="03782396"/>
    <w:rsid w:val="04676A8B"/>
    <w:rsid w:val="0476023E"/>
    <w:rsid w:val="04963B0C"/>
    <w:rsid w:val="04FC403D"/>
    <w:rsid w:val="07373DAC"/>
    <w:rsid w:val="077D7F4A"/>
    <w:rsid w:val="08141446"/>
    <w:rsid w:val="0923288D"/>
    <w:rsid w:val="095A1B0F"/>
    <w:rsid w:val="09D74946"/>
    <w:rsid w:val="0B782CB6"/>
    <w:rsid w:val="0BE81B6C"/>
    <w:rsid w:val="0CEF7946"/>
    <w:rsid w:val="0D157B86"/>
    <w:rsid w:val="0D68481B"/>
    <w:rsid w:val="0FA67D74"/>
    <w:rsid w:val="0FE85150"/>
    <w:rsid w:val="10C65B68"/>
    <w:rsid w:val="11AD0487"/>
    <w:rsid w:val="11E74B6B"/>
    <w:rsid w:val="12041F1C"/>
    <w:rsid w:val="14717A98"/>
    <w:rsid w:val="14D22CF5"/>
    <w:rsid w:val="16E54F9E"/>
    <w:rsid w:val="184B3C39"/>
    <w:rsid w:val="18F36CB9"/>
    <w:rsid w:val="195921EF"/>
    <w:rsid w:val="1A7F48BE"/>
    <w:rsid w:val="1B8371BB"/>
    <w:rsid w:val="1BF4351A"/>
    <w:rsid w:val="1C0628B7"/>
    <w:rsid w:val="1C4F3028"/>
    <w:rsid w:val="1C597755"/>
    <w:rsid w:val="1E957931"/>
    <w:rsid w:val="1EB00C68"/>
    <w:rsid w:val="203023E8"/>
    <w:rsid w:val="20664BB5"/>
    <w:rsid w:val="2080575F"/>
    <w:rsid w:val="20BC55C4"/>
    <w:rsid w:val="228E32C0"/>
    <w:rsid w:val="2303547D"/>
    <w:rsid w:val="23CC3274"/>
    <w:rsid w:val="253D5128"/>
    <w:rsid w:val="273C5A9F"/>
    <w:rsid w:val="29455AB0"/>
    <w:rsid w:val="29955AD6"/>
    <w:rsid w:val="2C1529D1"/>
    <w:rsid w:val="2CBC5E34"/>
    <w:rsid w:val="2EB0056E"/>
    <w:rsid w:val="2F8270F3"/>
    <w:rsid w:val="2FB22B6B"/>
    <w:rsid w:val="31943F2B"/>
    <w:rsid w:val="345319C9"/>
    <w:rsid w:val="36301342"/>
    <w:rsid w:val="3967567A"/>
    <w:rsid w:val="3AD11AB3"/>
    <w:rsid w:val="3CE0487A"/>
    <w:rsid w:val="3E751487"/>
    <w:rsid w:val="3EEB6AB7"/>
    <w:rsid w:val="3FF74C02"/>
    <w:rsid w:val="43DE2113"/>
    <w:rsid w:val="44146C41"/>
    <w:rsid w:val="4667038F"/>
    <w:rsid w:val="46E62229"/>
    <w:rsid w:val="47FF4413"/>
    <w:rsid w:val="49845004"/>
    <w:rsid w:val="49B62C1E"/>
    <w:rsid w:val="4B93258A"/>
    <w:rsid w:val="4D4C2BE0"/>
    <w:rsid w:val="4DC7613B"/>
    <w:rsid w:val="4E8146C5"/>
    <w:rsid w:val="50CA7DE7"/>
    <w:rsid w:val="51736DAF"/>
    <w:rsid w:val="52711BCE"/>
    <w:rsid w:val="535707E6"/>
    <w:rsid w:val="53746E0E"/>
    <w:rsid w:val="53F003EF"/>
    <w:rsid w:val="541D0B0E"/>
    <w:rsid w:val="55A21A11"/>
    <w:rsid w:val="57333685"/>
    <w:rsid w:val="59994DBA"/>
    <w:rsid w:val="59C96464"/>
    <w:rsid w:val="59E22703"/>
    <w:rsid w:val="5A0A69B4"/>
    <w:rsid w:val="5A6D19E9"/>
    <w:rsid w:val="5AB126F6"/>
    <w:rsid w:val="5BE348DB"/>
    <w:rsid w:val="5BFD617C"/>
    <w:rsid w:val="5CCD5CD0"/>
    <w:rsid w:val="5CD43C21"/>
    <w:rsid w:val="612B1454"/>
    <w:rsid w:val="61BD2427"/>
    <w:rsid w:val="62CB61BD"/>
    <w:rsid w:val="63F97611"/>
    <w:rsid w:val="65FB3CE3"/>
    <w:rsid w:val="665F3603"/>
    <w:rsid w:val="66D6776C"/>
    <w:rsid w:val="6705795A"/>
    <w:rsid w:val="67A3567A"/>
    <w:rsid w:val="68BB3463"/>
    <w:rsid w:val="694858F0"/>
    <w:rsid w:val="6A111488"/>
    <w:rsid w:val="6D082649"/>
    <w:rsid w:val="6D5B09CB"/>
    <w:rsid w:val="6E191E3D"/>
    <w:rsid w:val="6F6E095D"/>
    <w:rsid w:val="6FD36103"/>
    <w:rsid w:val="6FDC3AAD"/>
    <w:rsid w:val="6FF944CB"/>
    <w:rsid w:val="70715D07"/>
    <w:rsid w:val="70EE1B56"/>
    <w:rsid w:val="71F71352"/>
    <w:rsid w:val="725134A0"/>
    <w:rsid w:val="72BE454D"/>
    <w:rsid w:val="732301E9"/>
    <w:rsid w:val="75A1245A"/>
    <w:rsid w:val="76DD5312"/>
    <w:rsid w:val="773B1232"/>
    <w:rsid w:val="78AC2F0C"/>
    <w:rsid w:val="7AC1561D"/>
    <w:rsid w:val="7B0C506C"/>
    <w:rsid w:val="7B95754E"/>
    <w:rsid w:val="7BFA64D2"/>
    <w:rsid w:val="7E0A24D6"/>
    <w:rsid w:val="7E1F6BF8"/>
    <w:rsid w:val="7F7B10B3"/>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link w:val="14"/>
    <w:qFormat/>
    <w:uiPriority w:val="9"/>
    <w:pPr>
      <w:keepNext/>
      <w:keepLines/>
      <w:spacing w:line="240" w:lineRule="auto"/>
      <w:jc w:val="center"/>
      <w:outlineLvl w:val="1"/>
    </w:pPr>
    <w:rPr>
      <w:rFonts w:hAnsi="等线 Light" w:cs="宋体"/>
      <w:b/>
      <w:bCs/>
      <w:sz w:val="32"/>
      <w:szCs w:val="32"/>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qFormat/>
    <w:uiPriority w:val="0"/>
    <w:pPr>
      <w:spacing w:afterLines="0" w:afterAutospacing="0"/>
      <w:ind w:left="0" w:leftChars="0"/>
    </w:pPr>
    <w:rPr>
      <w:rFonts w:eastAsia="宋体"/>
    </w:rPr>
  </w:style>
  <w:style w:type="paragraph" w:styleId="6">
    <w:name w:val="Date"/>
    <w:basedOn w:val="1"/>
    <w:next w:val="1"/>
    <w:link w:val="22"/>
    <w:qFormat/>
    <w:uiPriority w:val="99"/>
    <w:pPr>
      <w:ind w:left="100" w:leftChars="2500"/>
    </w:pPr>
  </w:style>
  <w:style w:type="paragraph" w:styleId="7">
    <w:name w:val="footer"/>
    <w:basedOn w:val="1"/>
    <w:link w:val="21"/>
    <w:qFormat/>
    <w:uiPriority w:val="99"/>
    <w:pPr>
      <w:tabs>
        <w:tab w:val="center" w:pos="4153"/>
        <w:tab w:val="right" w:pos="8306"/>
      </w:tabs>
      <w:snapToGrid w:val="0"/>
      <w:spacing w:line="240" w:lineRule="auto"/>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styleId="13">
    <w:name w:val="List Paragraph"/>
    <w:basedOn w:val="1"/>
    <w:qFormat/>
    <w:uiPriority w:val="34"/>
    <w:pPr>
      <w:ind w:firstLine="420"/>
    </w:pPr>
  </w:style>
  <w:style w:type="character" w:customStyle="1" w:styleId="14">
    <w:name w:val="标题 2 字符"/>
    <w:basedOn w:val="11"/>
    <w:link w:val="5"/>
    <w:qFormat/>
    <w:uiPriority w:val="9"/>
    <w:rPr>
      <w:rFonts w:ascii="宋体" w:hAnsi="等线 Light" w:eastAsia="宋体" w:cs="宋体"/>
      <w:b/>
      <w:bCs/>
      <w:sz w:val="32"/>
      <w:szCs w:val="32"/>
    </w:rPr>
  </w:style>
  <w:style w:type="paragraph" w:customStyle="1" w:styleId="15">
    <w:name w:val="一级段落"/>
    <w:basedOn w:val="1"/>
    <w:next w:val="1"/>
    <w:qFormat/>
    <w:uiPriority w:val="0"/>
    <w:rPr>
      <w:b/>
      <w:sz w:val="24"/>
    </w:rPr>
  </w:style>
  <w:style w:type="paragraph" w:customStyle="1" w:styleId="16">
    <w:name w:val="二级段落"/>
    <w:basedOn w:val="1"/>
    <w:next w:val="1"/>
    <w:qFormat/>
    <w:uiPriority w:val="0"/>
    <w:rPr>
      <w:b/>
    </w:rPr>
  </w:style>
  <w:style w:type="paragraph" w:customStyle="1" w:styleId="17">
    <w:name w:val="点评作答"/>
    <w:basedOn w:val="1"/>
    <w:next w:val="1"/>
    <w:qFormat/>
    <w:uiPriority w:val="0"/>
    <w:rPr>
      <w:rFonts w:eastAsia="楷体"/>
    </w:rPr>
  </w:style>
  <w:style w:type="paragraph" w:customStyle="1" w:styleId="18">
    <w:name w:val="原创题干"/>
    <w:basedOn w:val="1"/>
    <w:next w:val="1"/>
    <w:qFormat/>
    <w:uiPriority w:val="0"/>
    <w:rPr>
      <w:sz w:val="22"/>
    </w:rPr>
  </w:style>
  <w:style w:type="paragraph" w:customStyle="1" w:styleId="19">
    <w:name w:val="三级段落"/>
    <w:basedOn w:val="1"/>
    <w:next w:val="1"/>
    <w:qFormat/>
    <w:uiPriority w:val="0"/>
    <w:rPr>
      <w:rFonts w:eastAsia="楷体"/>
      <w:b/>
    </w:rPr>
  </w:style>
  <w:style w:type="character" w:customStyle="1" w:styleId="20">
    <w:name w:val="页眉 字符"/>
    <w:basedOn w:val="11"/>
    <w:link w:val="8"/>
    <w:qFormat/>
    <w:uiPriority w:val="99"/>
    <w:rPr>
      <w:rFonts w:ascii="宋体" w:eastAsia="宋体"/>
      <w:sz w:val="18"/>
      <w:szCs w:val="18"/>
    </w:rPr>
  </w:style>
  <w:style w:type="character" w:customStyle="1" w:styleId="21">
    <w:name w:val="页脚 字符"/>
    <w:basedOn w:val="11"/>
    <w:link w:val="7"/>
    <w:qFormat/>
    <w:uiPriority w:val="99"/>
    <w:rPr>
      <w:rFonts w:ascii="宋体" w:eastAsia="宋体"/>
      <w:sz w:val="18"/>
      <w:szCs w:val="18"/>
    </w:rPr>
  </w:style>
  <w:style w:type="character" w:customStyle="1" w:styleId="22">
    <w:name w:val="日期 字符"/>
    <w:basedOn w:val="11"/>
    <w:link w:val="6"/>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1780</Characters>
  <Paragraphs>81</Paragraphs>
  <TotalTime>58</TotalTime>
  <ScaleCrop>false</ScaleCrop>
  <LinksUpToDate>false</LinksUpToDate>
  <CharactersWithSpaces>1780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2020-06-01T14:18:00Z</dcterms:created>
  <dc:creator>Denny</dc:creator>
  <cp:lastModifiedBy>文档存本地丢失不负责</cp:lastModifiedBy>
  <cp:lastPrinted>2022-03-30T09:34:00Z</cp:lastPrinted>
  <dcterms:modified xsi:type="dcterms:W3CDTF">2023-12-22T02:05:58Z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43C06D7BEA4E4D74BF9D45681DCD0805_13</vt:lpwstr>
  </property>
</Properties>
</file>