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ZHJY-2023-02</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6"/>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4701540</wp:posOffset>
            </wp:positionH>
            <wp:positionV relativeFrom="paragraph">
              <wp:posOffset>543560</wp:posOffset>
            </wp:positionV>
            <wp:extent cx="942975" cy="1040130"/>
            <wp:effectExtent l="0" t="0" r="9525" b="7620"/>
            <wp:wrapNone/>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1"/>
                    <a:stretch>
                      <a:fillRect/>
                    </a:stretch>
                  </pic:blipFill>
                  <pic:spPr>
                    <a:xfrm>
                      <a:off x="0" y="0"/>
                      <a:ext cx="942975" cy="104013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全真模考卷（八）</w:t>
      </w:r>
      <w:r>
        <w:rPr>
          <w:rFonts w:hint="eastAsia"/>
          <w:color w:val="auto"/>
          <w:lang w:val="en-US" w:eastAsia="zh-CN"/>
        </w:rPr>
        <w:t xml:space="preserve">                         </w:t>
      </w:r>
      <w:r>
        <w:rPr>
          <w:rFonts w:hint="eastAsia"/>
          <w:color w:val="auto"/>
        </w:rPr>
        <w:t>《综合能力测试》</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color w:val="auto"/>
        </w:rPr>
      </w:pPr>
      <w:r>
        <w:rPr>
          <w:rFonts w:hint="eastAsia"/>
          <w:color w:val="auto"/>
          <w:lang w:eastAsia="zh-CN"/>
        </w:rPr>
        <w:t>一、</w:t>
      </w:r>
      <w:r>
        <w:rPr>
          <w:rFonts w:hint="eastAsia"/>
          <w:color w:val="auto"/>
        </w:rPr>
        <w:t>数学运算：每道试题呈现一段表述数学关系的文字，要求你迅速、准确地计算出答案。</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1.对于任意的两个自然数a和b，规定新运算※：a※b=</w:t>
      </w:r>
      <w:r>
        <w:rPr>
          <w:rFonts w:hint="eastAsia" w:cs="宋体"/>
          <w:sz w:val="21"/>
          <w:szCs w:val="21"/>
          <w:lang w:val="en-US" w:eastAsia="zh-CN"/>
        </w:rPr>
        <w:t>（</w:t>
      </w:r>
      <w:r>
        <w:rPr>
          <w:rFonts w:hint="eastAsia" w:ascii="宋体" w:hAnsi="宋体" w:eastAsia="宋体" w:cs="宋体"/>
          <w:sz w:val="21"/>
          <w:szCs w:val="21"/>
          <w:lang w:val="en-US" w:eastAsia="zh-CN"/>
        </w:rPr>
        <w:t>a+1</w:t>
      </w:r>
      <w:r>
        <w:rPr>
          <w:rFonts w:hint="eastAsia" w:cs="宋体"/>
          <w:sz w:val="21"/>
          <w:szCs w:val="21"/>
          <w:lang w:val="en-US" w:eastAsia="zh-CN"/>
        </w:rPr>
        <w:t>）（</w:t>
      </w:r>
      <w:r>
        <w:rPr>
          <w:rFonts w:hint="eastAsia" w:ascii="宋体" w:hAnsi="宋体" w:eastAsia="宋体" w:cs="宋体"/>
          <w:sz w:val="21"/>
          <w:szCs w:val="21"/>
          <w:lang w:val="en-US" w:eastAsia="zh-CN"/>
        </w:rPr>
        <w:t>a+2</w:t>
      </w:r>
      <w:r>
        <w:rPr>
          <w:rFonts w:hint="eastAsia" w:cs="宋体"/>
          <w:sz w:val="21"/>
          <w:szCs w:val="21"/>
          <w:lang w:val="en-US" w:eastAsia="zh-CN"/>
        </w:rPr>
        <w:t>）（</w:t>
      </w:r>
      <w:r>
        <w:rPr>
          <w:rFonts w:hint="eastAsia" w:ascii="宋体" w:hAnsi="宋体" w:eastAsia="宋体" w:cs="宋体"/>
          <w:sz w:val="21"/>
          <w:szCs w:val="21"/>
          <w:lang w:val="en-US" w:eastAsia="zh-CN"/>
        </w:rPr>
        <w:t>a+3</w:t>
      </w:r>
      <w:r>
        <w:rPr>
          <w:rFonts w:hint="eastAsia" w:cs="宋体"/>
          <w:sz w:val="21"/>
          <w:szCs w:val="21"/>
          <w:lang w:val="en-US" w:eastAsia="zh-CN"/>
        </w:rPr>
        <w:t>）</w:t>
      </w:r>
      <w:r>
        <w:rPr>
          <w:rFonts w:hint="eastAsia" w:ascii="宋体" w:hAnsi="宋体" w:eastAsia="宋体" w:cs="宋体"/>
          <w:sz w:val="21"/>
          <w:szCs w:val="21"/>
          <w:lang w:val="en-US" w:eastAsia="zh-CN"/>
        </w:rPr>
        <w:t>…</w:t>
      </w:r>
      <w:r>
        <w:rPr>
          <w:rFonts w:hint="eastAsia" w:cs="宋体"/>
          <w:sz w:val="21"/>
          <w:szCs w:val="21"/>
          <w:lang w:val="en-US" w:eastAsia="zh-CN"/>
        </w:rPr>
        <w:t>（</w:t>
      </w:r>
      <w:r>
        <w:rPr>
          <w:rFonts w:hint="eastAsia" w:ascii="宋体" w:hAnsi="宋体" w:eastAsia="宋体" w:cs="宋体"/>
          <w:sz w:val="21"/>
          <w:szCs w:val="21"/>
          <w:lang w:val="en-US" w:eastAsia="zh-CN"/>
        </w:rPr>
        <w:t>a+b</w:t>
      </w:r>
      <w:r>
        <w:rPr>
          <w:rFonts w:hint="eastAsia" w:cs="宋体"/>
          <w:sz w:val="21"/>
          <w:szCs w:val="21"/>
          <w:lang w:val="en-US" w:eastAsia="zh-CN"/>
        </w:rPr>
        <w:t>）</w:t>
      </w:r>
      <w:r>
        <w:rPr>
          <w:rFonts w:hint="eastAsia" w:ascii="宋体" w:hAnsi="宋体" w:eastAsia="宋体" w:cs="宋体"/>
          <w:sz w:val="21"/>
          <w:szCs w:val="21"/>
          <w:lang w:val="en-US" w:eastAsia="zh-CN"/>
        </w:rPr>
        <w:t>，其中a、b表示自然数</w:t>
      </w:r>
      <w:r>
        <w:rPr>
          <w:rFonts w:hint="eastAsia" w:cs="宋体"/>
          <w:sz w:val="21"/>
          <w:szCs w:val="21"/>
          <w:lang w:val="en-US" w:eastAsia="zh-CN"/>
        </w:rPr>
        <w:t>。</w:t>
      </w:r>
      <w:r>
        <w:rPr>
          <w:rFonts w:hint="eastAsia" w:ascii="宋体" w:hAnsi="宋体" w:eastAsia="宋体" w:cs="宋体"/>
          <w:sz w:val="21"/>
          <w:szCs w:val="21"/>
          <w:lang w:val="en-US" w:eastAsia="zh-CN"/>
        </w:rPr>
        <w:t>如果</w:t>
      </w:r>
      <w:r>
        <w:rPr>
          <w:rFonts w:hint="eastAsia" w:cs="宋体"/>
          <w:sz w:val="21"/>
          <w:szCs w:val="21"/>
          <w:lang w:val="en-US" w:eastAsia="zh-CN"/>
        </w:rPr>
        <w:t>（</w:t>
      </w:r>
      <w:r>
        <w:rPr>
          <w:rFonts w:hint="eastAsia" w:ascii="宋体" w:hAnsi="宋体" w:eastAsia="宋体" w:cs="宋体"/>
          <w:sz w:val="21"/>
          <w:szCs w:val="21"/>
          <w:lang w:val="en-US" w:eastAsia="zh-CN"/>
        </w:rPr>
        <w:t>x※3</w:t>
      </w:r>
      <w:r>
        <w:rPr>
          <w:rFonts w:hint="eastAsia" w:cs="宋体"/>
          <w:sz w:val="21"/>
          <w:szCs w:val="21"/>
          <w:lang w:val="en-US" w:eastAsia="zh-CN"/>
        </w:rPr>
        <w:t>）</w:t>
      </w:r>
      <w:r>
        <w:rPr>
          <w:rFonts w:hint="eastAsia" w:ascii="宋体" w:hAnsi="宋体" w:eastAsia="宋体" w:cs="宋体"/>
          <w:sz w:val="21"/>
          <w:szCs w:val="21"/>
          <w:lang w:val="en-US" w:eastAsia="zh-CN"/>
        </w:rPr>
        <w:t>※2=650，那么x=（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A.1</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B.2</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C.3</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D.4</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超过100名的小朋友站成一列，如果从第一人开始依次按1、2、3、……、9的顺序循环报数，最后一名小朋友报的是7；如果按1、2、3、……、11的顺序循环报数，最后一名小朋友报的是9。那么一共有多少名小朋友？（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A.98</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B.97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C.96</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D.95</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3</w:t>
      </w:r>
      <w:r>
        <w:rPr>
          <w:rFonts w:hint="eastAsia" w:ascii="宋体" w:hAnsi="宋体" w:eastAsia="宋体" w:cs="宋体"/>
          <w:sz w:val="21"/>
          <w:szCs w:val="21"/>
          <w:lang w:val="en-US" w:eastAsia="zh-CN"/>
        </w:rPr>
        <w:t>.某帮扶项目以每公斤9元的价格从农民手中收购了一批苹果，并以每公斤12元（包邮）的价格在网上销售。售出总量的80%后，价格下调为每公斤10元（包邮）。运费成本为每公斤0.1元。全部售完后，扣除收购成本和运费的总收益为2.5万元，则这批苹果为（    ）吨。</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A.5</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B.10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C.15</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D.20</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i w:val="0"/>
          <w:iCs w:val="0"/>
          <w:caps w:val="0"/>
          <w:color w:val="000000"/>
          <w:spacing w:val="0"/>
          <w:sz w:val="21"/>
          <w:szCs w:val="21"/>
          <w:shd w:val="clear" w:fill="FFFFFF"/>
        </w:rPr>
        <w:t xml:space="preserve">A、B两人在一个周长为1200米的环形湖边匀速同向而跑，两人的初始位置不同，24分钟后A第二次追上B，此时A恰好第三次回到起点。若A、B初始速度不变，匀速相向而行，则6分钟后两人第二次相遇。问A的速度比B的速度快多少倍？（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336"/>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w:t>
      </w:r>
      <w:r>
        <w:rPr>
          <w:rFonts w:hint="eastAsia" w:ascii="宋体" w:hAnsi="宋体" w:eastAsia="宋体" w:cs="宋体"/>
          <w:i w:val="0"/>
          <w:iCs w:val="0"/>
          <w:caps w:val="0"/>
          <w:color w:val="000000"/>
          <w:spacing w:val="0"/>
          <w:sz w:val="21"/>
          <w:szCs w:val="21"/>
          <w:shd w:val="clear" w:fill="FFFFFF"/>
        </w:rPr>
        <w:drawing>
          <wp:inline distT="0" distB="0" distL="114300" distR="114300">
            <wp:extent cx="133350" cy="361950"/>
            <wp:effectExtent l="0" t="0" r="0" b="0"/>
            <wp:docPr id="33"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IMG_256"/>
                    <pic:cNvPicPr>
                      <a:picLocks noChangeAspect="1"/>
                    </pic:cNvPicPr>
                  </pic:nvPicPr>
                  <pic:blipFill>
                    <a:blip r:embed="rId12"/>
                    <a:stretch>
                      <a:fillRect/>
                    </a:stretch>
                  </pic:blipFill>
                  <pic:spPr>
                    <a:xfrm>
                      <a:off x="0" y="0"/>
                      <a:ext cx="133350" cy="3619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B.</w:t>
      </w:r>
      <w:r>
        <w:rPr>
          <w:rFonts w:hint="eastAsia" w:ascii="宋体" w:hAnsi="宋体" w:eastAsia="宋体" w:cs="宋体"/>
          <w:i w:val="0"/>
          <w:iCs w:val="0"/>
          <w:caps w:val="0"/>
          <w:color w:val="000000"/>
          <w:spacing w:val="0"/>
          <w:sz w:val="21"/>
          <w:szCs w:val="21"/>
          <w:shd w:val="clear" w:fill="FFFFFF"/>
        </w:rPr>
        <w:drawing>
          <wp:inline distT="0" distB="0" distL="114300" distR="114300">
            <wp:extent cx="142875" cy="361950"/>
            <wp:effectExtent l="0" t="0" r="9525" b="0"/>
            <wp:docPr id="27"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IMG_257"/>
                    <pic:cNvPicPr>
                      <a:picLocks noChangeAspect="1"/>
                    </pic:cNvPicPr>
                  </pic:nvPicPr>
                  <pic:blipFill>
                    <a:blip r:embed="rId13"/>
                    <a:stretch>
                      <a:fillRect/>
                    </a:stretch>
                  </pic:blipFill>
                  <pic:spPr>
                    <a:xfrm>
                      <a:off x="0" y="0"/>
                      <a:ext cx="142875" cy="3619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C.1</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w:t>
      </w:r>
      <w:r>
        <w:rPr>
          <w:rFonts w:hint="eastAsia" w:ascii="宋体" w:hAnsi="宋体" w:eastAsia="宋体" w:cs="宋体"/>
          <w:i w:val="0"/>
          <w:iCs w:val="0"/>
          <w:caps w:val="0"/>
          <w:color w:val="000000"/>
          <w:spacing w:val="0"/>
          <w:sz w:val="21"/>
          <w:szCs w:val="21"/>
          <w:shd w:val="clear" w:fill="FFFFFF"/>
        </w:rPr>
        <w:drawing>
          <wp:inline distT="0" distB="0" distL="114300" distR="114300">
            <wp:extent cx="142875" cy="361950"/>
            <wp:effectExtent l="0" t="0" r="0" b="0"/>
            <wp:docPr id="25"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IMG_258"/>
                    <pic:cNvPicPr>
                      <a:picLocks noChangeAspect="1"/>
                    </pic:cNvPicPr>
                  </pic:nvPicPr>
                  <pic:blipFill>
                    <a:blip r:embed="rId14"/>
                    <a:stretch>
                      <a:fillRect/>
                    </a:stretch>
                  </pic:blipFill>
                  <pic:spPr>
                    <a:xfrm>
                      <a:off x="0" y="0"/>
                      <a:ext cx="142875" cy="361950"/>
                    </a:xfrm>
                    <a:prstGeom prst="rect">
                      <a:avLst/>
                    </a:prstGeom>
                    <a:noFill/>
                    <a:ln w="9525">
                      <a:noFill/>
                    </a:ln>
                  </pic:spPr>
                </pic:pic>
              </a:graphicData>
            </a:graphic>
          </wp:inline>
        </w:drawing>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i w:val="0"/>
          <w:iCs w:val="0"/>
          <w:caps w:val="0"/>
          <w:color w:val="000000"/>
          <w:spacing w:val="0"/>
          <w:sz w:val="21"/>
          <w:szCs w:val="21"/>
          <w:shd w:val="clear" w:fill="FFFFFF"/>
        </w:rPr>
        <w:t>小明买了一艘游艇模型，其电池最多可以使用40分钟。这艘游艇模型逆水时每小时航行1200米，顺水时每小时航行2000米。小明从一个口岸放下游艇模型，让它逆水而上，若要在电池耗尽前在原来的口岸拿回游艇模型，那么该游艇模型最多驶出（</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）米就需返航。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336"/>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A.400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B.500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C.600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D.700</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i w:val="0"/>
          <w:iCs w:val="0"/>
          <w:caps w:val="0"/>
          <w:color w:val="000000"/>
          <w:spacing w:val="0"/>
          <w:sz w:val="21"/>
          <w:szCs w:val="21"/>
          <w:shd w:val="clear" w:fill="FFFFFF"/>
        </w:rPr>
        <w:t>某产品的生产须经历A、B、C、D四道工序，由甲、乙、丙、丁每人负责其中一道工序，四人单独完成每道工序所需的时间（单位：分钟）如下表所示，则他们完成四道工序所需的总时间最少是（</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3544570" cy="1270000"/>
            <wp:effectExtent l="0" t="0" r="17780" b="6350"/>
            <wp:docPr id="37"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descr="IMG_256"/>
                    <pic:cNvPicPr>
                      <a:picLocks noChangeAspect="1"/>
                    </pic:cNvPicPr>
                  </pic:nvPicPr>
                  <pic:blipFill>
                    <a:blip r:embed="rId15"/>
                    <a:stretch>
                      <a:fillRect/>
                    </a:stretch>
                  </pic:blipFill>
                  <pic:spPr>
                    <a:xfrm>
                      <a:off x="0" y="0"/>
                      <a:ext cx="3544570" cy="1270000"/>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336"/>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A.18分钟</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B.22分钟</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C.24分钟</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D.26分钟</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7</w:t>
      </w:r>
      <w:r>
        <w:rPr>
          <w:rFonts w:hint="eastAsia" w:ascii="宋体" w:hAnsi="宋体" w:eastAsia="宋体" w:cs="宋体"/>
          <w:sz w:val="21"/>
          <w:szCs w:val="21"/>
          <w:lang w:val="en-US" w:eastAsia="zh-CN"/>
        </w:rPr>
        <w:t>.某学校进行月度考试，现安排教室（不含老师），大教室可容纳60人，小教室可容纳40人。如安排20个小教室，则大教室需要9个，且除一个大教室还有4个空位之外，其他教室全部坐满。现本着安排教室数最少的原则安排，问最少要安排多少个大教室？（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B.21</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C.22</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D.23</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某部门里身高各不相同的8人一起排练合唱节目。合唱要求8人排成两排，前后人员对齐，但要求后排的每个人要比站其前面的那个人高，以不被挡住。则这8人的站位方法有（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336"/>
        <w:jc w:val="both"/>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A.980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B.1260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C.1860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D.2520</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将张、王、李、赵、吴5名督导员分配到4个分公司开展工作，要求每个分公司至少分配1人。问在所有安排方式中随机选择一种，能同时满足“张、王都单独负责1个分公司”和“李不能和赵分配到同一个分公司”两个条件的概率为（</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B.30%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C.40%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D.50%</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ascii="宋体" w:hAnsi="宋体" w:eastAsia="宋体" w:cs="宋体"/>
          <w:i w:val="0"/>
          <w:caps w:val="0"/>
          <w:color w:val="000000"/>
          <w:spacing w:val="0"/>
          <w:sz w:val="21"/>
          <w:szCs w:val="21"/>
          <w:shd w:val="clear" w:fill="FFFFFF"/>
        </w:rPr>
        <w:t>甲到飞机场坐飞机，飞机场的十二个登机口排成一条直线，相邻两个登机口之间相距50米。甲在登机口等待时被告知登机口更改了，那么甲走到新登机口的距离不超过200米的概率是（</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144780" cy="325755"/>
            <wp:effectExtent l="0" t="0" r="7620" b="9525"/>
            <wp:docPr id="39"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IMG_256"/>
                    <pic:cNvPicPr>
                      <a:picLocks noChangeAspect="1"/>
                    </pic:cNvPicPr>
                  </pic:nvPicPr>
                  <pic:blipFill>
                    <a:blip r:embed="rId16"/>
                    <a:stretch>
                      <a:fillRect/>
                    </a:stretch>
                  </pic:blipFill>
                  <pic:spPr>
                    <a:xfrm>
                      <a:off x="0" y="0"/>
                      <a:ext cx="144780" cy="32575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200025" cy="342900"/>
            <wp:effectExtent l="0" t="0" r="9525" b="0"/>
            <wp:docPr id="41" name="图片 3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 descr="IMG_257"/>
                    <pic:cNvPicPr>
                      <a:picLocks noChangeAspect="1"/>
                    </pic:cNvPicPr>
                  </pic:nvPicPr>
                  <pic:blipFill>
                    <a:blip r:embed="rId17"/>
                    <a:stretch>
                      <a:fillRect/>
                    </a:stretch>
                  </pic:blipFill>
                  <pic:spPr>
                    <a:xfrm>
                      <a:off x="0" y="0"/>
                      <a:ext cx="200025"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184785" cy="316865"/>
            <wp:effectExtent l="0" t="0" r="13335" b="3175"/>
            <wp:docPr id="42" name="图片 3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descr="IMG_258"/>
                    <pic:cNvPicPr>
                      <a:picLocks noChangeAspect="1"/>
                    </pic:cNvPicPr>
                  </pic:nvPicPr>
                  <pic:blipFill>
                    <a:blip r:embed="rId18"/>
                    <a:stretch>
                      <a:fillRect/>
                    </a:stretch>
                  </pic:blipFill>
                  <pic:spPr>
                    <a:xfrm>
                      <a:off x="0" y="0"/>
                      <a:ext cx="184785" cy="31686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205740" cy="308610"/>
            <wp:effectExtent l="0" t="0" r="7620" b="11430"/>
            <wp:docPr id="43" name="图片 3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IMG_259"/>
                    <pic:cNvPicPr>
                      <a:picLocks noChangeAspect="1"/>
                    </pic:cNvPicPr>
                  </pic:nvPicPr>
                  <pic:blipFill>
                    <a:blip r:embed="rId19"/>
                    <a:stretch>
                      <a:fillRect/>
                    </a:stretch>
                  </pic:blipFill>
                  <pic:spPr>
                    <a:xfrm>
                      <a:off x="0" y="0"/>
                      <a:ext cx="205740" cy="308610"/>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11</w:t>
      </w:r>
      <w:r>
        <w:rPr>
          <w:rFonts w:hint="eastAsia" w:ascii="宋体" w:hAnsi="宋体" w:eastAsia="宋体" w:cs="宋体"/>
          <w:sz w:val="21"/>
          <w:szCs w:val="21"/>
          <w:lang w:val="en-US" w:eastAsia="zh-CN"/>
        </w:rPr>
        <w:t>.有三位年龄差不多的同校学生，已知小宇与小展年龄和的7倍与小欣年龄的13倍之和是325。则下列关于他们年龄的描述，肯定错误的是（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A.他们的年龄数可能形成一个等差数列</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B.三人中小欣年龄可能最小</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C.小宇与小展可能同岁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D.小宇可能比小欣大4岁</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12</w:t>
      </w:r>
      <w:r>
        <w:rPr>
          <w:rFonts w:hint="eastAsia" w:ascii="宋体" w:hAnsi="宋体" w:eastAsia="宋体" w:cs="宋体"/>
          <w:sz w:val="21"/>
          <w:szCs w:val="21"/>
          <w:lang w:val="en-US" w:eastAsia="zh-CN"/>
        </w:rPr>
        <w:t>.张、王、刘和李四人进行象棋比赛，每两人之间都要赛一局。已知张胜了两局，王平了三局，问刘和李加起来最多胜了（    ）局。</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B.1</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C.2</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D.3</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cs="宋体"/>
          <w:sz w:val="21"/>
          <w:szCs w:val="21"/>
          <w:lang w:val="en-US" w:eastAsia="zh-CN"/>
        </w:rPr>
        <w:t>13</w:t>
      </w:r>
      <w:r>
        <w:rPr>
          <w:rFonts w:hint="eastAsia" w:ascii="宋体" w:hAnsi="宋体" w:eastAsia="宋体" w:cs="宋体"/>
          <w:sz w:val="21"/>
          <w:szCs w:val="21"/>
          <w:lang w:val="en-US" w:eastAsia="zh-CN"/>
        </w:rPr>
        <w:t>.在2011年世界产权组织公布的公司全球专利申请排名中，中国中兴公司提交了2826项专利申请，日本松下公司申请了2463项，中国华为公司申请了1831项，分别排名前3位。从这三个公司申请的专利中至少拿出多少项专利，才能保证拿出的专利一定有2110项是同一公司申请的专利？（    ）</w:t>
      </w:r>
    </w:p>
    <w:p>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A.6049</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B.6050</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C.6327</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D.6328</w:t>
      </w:r>
    </w:p>
    <w:p>
      <w:pPr>
        <w:keepNext w:val="0"/>
        <w:keepLines w:val="0"/>
        <w:pageBreakBefore w:val="0"/>
        <w:widowControl w:val="0"/>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lang w:val="en-US" w:eastAsia="zh-CN"/>
        </w:rPr>
      </w:pPr>
      <w:r>
        <w:rPr>
          <w:rFonts w:hint="eastAsia"/>
          <w:lang w:val="en-US" w:eastAsia="zh-CN"/>
        </w:rPr>
        <w:t>14.某收藏家有三个古董钟，时针都掉了，只剩下分针，而且都走的较快，每小时分别快2分钟、6分钟及12分钟。如果在中午将这三个钟的分针都调整指向钟面的12点位置，（    ）小时后这3个钟的分针会指在相同的时钟位置。</w:t>
      </w:r>
    </w:p>
    <w:p>
      <w:pPr>
        <w:keepNext w:val="0"/>
        <w:keepLines w:val="0"/>
        <w:pageBreakBefore w:val="0"/>
        <w:widowControl w:val="0"/>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lang w:val="en-US" w:eastAsia="zh-CN"/>
        </w:rPr>
      </w:pPr>
      <w:r>
        <w:rPr>
          <w:rFonts w:hint="eastAsia"/>
          <w:lang w:val="en-US" w:eastAsia="zh-CN"/>
        </w:rPr>
        <w:t>A.24</w:t>
      </w:r>
      <w:r>
        <w:rPr>
          <w:rFonts w:hint="eastAsia"/>
          <w:lang w:val="en-US" w:eastAsia="zh-CN"/>
        </w:rPr>
        <w:tab/>
      </w:r>
      <w:r>
        <w:rPr>
          <w:rFonts w:hint="eastAsia"/>
          <w:lang w:val="en-US" w:eastAsia="zh-CN"/>
        </w:rPr>
        <w:t>B.26</w:t>
      </w:r>
      <w:r>
        <w:rPr>
          <w:rFonts w:hint="eastAsia"/>
          <w:lang w:val="en-US" w:eastAsia="zh-CN"/>
        </w:rPr>
        <w:tab/>
      </w:r>
      <w:r>
        <w:rPr>
          <w:rFonts w:hint="eastAsia"/>
          <w:lang w:val="en-US" w:eastAsia="zh-CN"/>
        </w:rPr>
        <w:t>C.28</w:t>
      </w:r>
      <w:r>
        <w:rPr>
          <w:rFonts w:hint="eastAsia"/>
          <w:lang w:val="en-US" w:eastAsia="zh-CN"/>
        </w:rPr>
        <w:tab/>
      </w:r>
      <w:r>
        <w:rPr>
          <w:rFonts w:hint="eastAsia"/>
          <w:lang w:val="en-US" w:eastAsia="zh-CN"/>
        </w:rPr>
        <w:t>D.30</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20" w:afterAutospacing="0" w:line="288" w:lineRule="auto"/>
        <w:ind w:left="0" w:right="0"/>
        <w:rPr>
          <w:rFonts w:hint="eastAsia" w:ascii="宋体" w:hAnsi="宋体" w:eastAsia="宋体" w:cs="宋体"/>
          <w:sz w:val="21"/>
          <w:szCs w:val="21"/>
        </w:rPr>
      </w:pPr>
      <w:r>
        <w:rPr>
          <w:rFonts w:hint="eastAsia" w:cs="宋体"/>
          <w:sz w:val="21"/>
          <w:szCs w:val="21"/>
          <w:lang w:val="en-US" w:eastAsia="zh-CN"/>
        </w:rPr>
        <w:t>15</w:t>
      </w:r>
      <w:r>
        <w:rPr>
          <w:rFonts w:hint="eastAsia" w:ascii="宋体" w:hAnsi="宋体" w:eastAsia="宋体" w:cs="宋体"/>
          <w:sz w:val="21"/>
          <w:szCs w:val="21"/>
          <w:lang w:val="en-US" w:eastAsia="zh-CN"/>
        </w:rPr>
        <w:t>.</w:t>
      </w:r>
      <w:r>
        <w:rPr>
          <w:rFonts w:hint="eastAsia" w:ascii="宋体" w:hAnsi="宋体" w:eastAsia="宋体" w:cs="宋体"/>
          <w:i w:val="0"/>
          <w:iCs w:val="0"/>
          <w:caps w:val="0"/>
          <w:color w:val="000000"/>
          <w:spacing w:val="0"/>
          <w:sz w:val="21"/>
          <w:szCs w:val="21"/>
          <w:shd w:val="clear" w:fill="FFFFFF"/>
        </w:rPr>
        <w:t xml:space="preserve">某工程队计划每天修路560米，恰好可按期完成任务。如每天比计划多修80米，则可以提前2天完成，且最后1天只需修320米。问如果要提前6天完成，每天要比计划多修多少米？（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336"/>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A.160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B.240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C.320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D.400</w:t>
      </w:r>
    </w:p>
    <w:p>
      <w:pPr>
        <w:pStyle w:val="8"/>
        <w:bidi w:val="0"/>
        <w:rPr>
          <w:rFonts w:hint="eastAsia"/>
          <w:color w:val="auto"/>
          <w:spacing w:val="0"/>
          <w:highlight w:val="none"/>
          <w:lang w:val="en-US" w:eastAsia="zh-CN"/>
        </w:rPr>
      </w:pPr>
      <w:r>
        <w:rPr>
          <w:rFonts w:hint="eastAsia"/>
          <w:color w:val="auto"/>
          <w:highlight w:val="none"/>
          <w:lang w:val="en-US" w:eastAsia="zh-CN"/>
        </w:rPr>
        <w:t>二、逻辑判断：每道题给出一段陈述，这段陈述被假设是正确的，不容置疑的。要求你根据这段陈述，</w:t>
      </w:r>
      <w:r>
        <w:rPr>
          <w:rFonts w:hint="eastAsia"/>
          <w:color w:val="auto"/>
          <w:spacing w:val="-6"/>
          <w:highlight w:val="none"/>
          <w:lang w:val="en-US" w:eastAsia="zh-CN"/>
        </w:rPr>
        <w:t>选择一个答案。注意：</w:t>
      </w:r>
      <w:r>
        <w:rPr>
          <w:rFonts w:hint="eastAsia"/>
          <w:color w:val="auto"/>
          <w:spacing w:val="0"/>
          <w:highlight w:val="none"/>
          <w:lang w:val="en-US" w:eastAsia="zh-CN"/>
        </w:rPr>
        <w:t>正确的答案应与所给的陈述相符合，不需要任何附加说明即可以从陈述中直接推出。</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16.所有的艺术家都懂音乐，有些懂音乐的写诗歌，你不写诗歌，所以你不是艺术家。</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以下哪项的推理结构与上述推理的形式最为类似？（    ）</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A.所有的羊都吃草，有些吃草的吃田螺，牛不吃田螺，所以牛不是羊</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B.所有工业设计专业的学生都会画图，有些会画图的爱好书法，小明不会画图，所以小明不是工业设计的学生</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C.所有的教授都承担过国家级课题，有些承担国家级课题的是名教授，老范是普通教授，所以老范没承担过国家级课题</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D.所有的女士都爱美，有些爱美的还喜欢健身，小丽不喜欢健身，所以小丽不是爱美的女士</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17.中国互联网络信息中心发布报告显示，截至2018年12月，我国短视频用户规模达6.48亿，其中青少年用户占了很大比重，开展青少年防沉迷工作刻不容缓。相关主管部门组织短视频平台企业研发了青少年防沉迷系统，进入“青少年模式”后，每日使用时长将限定为累计40分钟，打赏、充值、提现、直播等功能将不可用，每天22时至次日6时期间，禁止使用短视频App。</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以下哪项如果为真，最能质疑该模式的有效性？（    ）</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A.用户使用“青少年模式”需提交身份证信息等，增加了泄露个人隐私的风险</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B.不加选择地浏览视频内容，可能会对青少年价值观产生负面影响</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C.该系统通过大数据分析来识别疑似青少年用户，可能会“误伤”成年人</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D.“青少年模式”目前尚无法识别网络使用者的真实身份</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18.根据国家卫健委的数据，约有三分之一的中小学生每天户外运动时间不足一小时，超过70%的中小学生睡眠时间不达标，同时，重压也对青少年的健康造成影响，近视率不断上升，原因主要是家庭作业耗时太长。为此，有教育部门认为，晚上睡个好觉或许对孩子们更重要，在父母同意的情况下，孩子可在指定的睡眠时间后不做尚未完成的作业。但家长们并不感到高兴，他们担心自己的孩子最终只能上低质量的学校。</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以下哪项如果为真，最有助于解释家长们的担心？（    ）</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A.新规虽可能会减轻学生的作业负担，但现行规则下，大学都是依据高考成绩选择学生</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B.未来将开展人工智能辅助教学，学生们耗费在家庭作业上的时间将大大减少</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C.有研究证明，良好的睡眠能够提高学习效率，有助于提高学习成绩</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D.高校录取机制将进行新的改革，关注学生成绩的同时也会更加重视学生的综合素质</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19.某大学哲学系三年级本科生参加了一次国家英语六级考试。关于考试情况，四位同学做出了如下猜测：</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甲：所有同学都及格了。</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乙：小张没有及格。</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丙：肯定不会全部同学都及格。</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丁：也不会所有同学都不及格。</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如果只有一位同学猜错了，则下列（    ）项为真。</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A.甲猜错了，小张及格了</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B.甲猜错了，小张没有及格</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C.乙猜错了，小张及格了</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D.丙猜错了，小张及格了</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20.没有高度的文化自信，没有文化的繁荣兴盛，就没有中华民族伟大复兴。坚持中国特色社会主义文化发展道路，才能激发全民族文化创新创造活力，才能建设社会主义文化强国。</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由此可以推出（    ）。</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A.有高度的文化自信和文化的繁荣昌盛就能实现中华民族伟大复兴</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B.坚持中国特色社会主义文化发展道路就能建设社会主义文化强国</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C.不坚持中国特色社会主义文化发展道路就不能建设社会主义文化强国</w:t>
      </w:r>
    </w:p>
    <w:p>
      <w:pPr>
        <w:keepNext w:val="0"/>
        <w:keepLines w:val="0"/>
        <w:pageBreakBefore w:val="0"/>
        <w:widowControl w:val="0"/>
        <w:kinsoku/>
        <w:wordWrap/>
        <w:overflowPunct/>
        <w:topLinePunct w:val="0"/>
        <w:autoSpaceDE/>
        <w:autoSpaceDN/>
        <w:bidi w:val="0"/>
        <w:adjustRightInd/>
        <w:snapToGrid/>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D.激发全民族文化创新创造活力是实现中华民族伟大复兴的关键</w:t>
      </w:r>
    </w:p>
    <w:p>
      <w:pPr>
        <w:pStyle w:val="8"/>
        <w:bidi w:val="0"/>
        <w:rPr>
          <w:rFonts w:hint="eastAsia"/>
          <w:lang w:val="en-US" w:eastAsia="zh-CN"/>
        </w:rPr>
      </w:pPr>
      <w:r>
        <w:rPr>
          <w:rFonts w:hint="eastAsia"/>
          <w:lang w:val="en-US" w:eastAsia="zh-CN"/>
        </w:rPr>
        <w:t>三、类比推理：每道题先给出一组相关的词，要求你在备选答案中找出一组与之在逻辑关系上最为贴近、相似或匹配的词。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21.骈偶∶颠倒</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A.语言∶科技</w:t>
      </w:r>
      <w:r>
        <w:rPr>
          <w:rFonts w:hint="eastAsia"/>
          <w:lang w:val="en-US" w:eastAsia="zh-CN"/>
        </w:rPr>
        <w:tab/>
      </w:r>
      <w:r>
        <w:rPr>
          <w:rFonts w:hint="eastAsia"/>
          <w:lang w:val="en-US" w:eastAsia="zh-CN"/>
        </w:rPr>
        <w:tab/>
      </w:r>
      <w:r>
        <w:rPr>
          <w:rFonts w:hint="eastAsia"/>
          <w:lang w:val="en-US" w:eastAsia="zh-CN"/>
        </w:rPr>
        <w:t>B.贡献∶共享</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C.开关∶旋转</w:t>
      </w:r>
      <w:r>
        <w:rPr>
          <w:rFonts w:hint="eastAsia"/>
          <w:lang w:val="en-US" w:eastAsia="zh-CN"/>
        </w:rPr>
        <w:tab/>
      </w:r>
      <w:r>
        <w:rPr>
          <w:rFonts w:hint="eastAsia"/>
          <w:lang w:val="en-US" w:eastAsia="zh-CN"/>
        </w:rPr>
        <w:tab/>
      </w:r>
      <w:r>
        <w:rPr>
          <w:rFonts w:hint="eastAsia"/>
          <w:lang w:val="en-US" w:eastAsia="zh-CN"/>
        </w:rPr>
        <w:t>D.把握∶给予</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22.塑料∶容器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A.石灰∶水泥</w:t>
      </w:r>
      <w:r>
        <w:rPr>
          <w:rFonts w:hint="eastAsia"/>
          <w:lang w:val="en-US" w:eastAsia="zh-CN"/>
        </w:rPr>
        <w:tab/>
      </w:r>
      <w:r>
        <w:rPr>
          <w:rFonts w:hint="eastAsia"/>
          <w:lang w:val="en-US" w:eastAsia="zh-CN"/>
        </w:rPr>
        <w:tab/>
      </w:r>
      <w:r>
        <w:rPr>
          <w:rFonts w:hint="eastAsia"/>
          <w:lang w:val="en-US" w:eastAsia="zh-CN"/>
        </w:rPr>
        <w:t>B.陶瓷∶餐具</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C.桥墩∶桥梁</w:t>
      </w:r>
      <w:r>
        <w:rPr>
          <w:rFonts w:hint="eastAsia"/>
          <w:lang w:val="en-US" w:eastAsia="zh-CN"/>
        </w:rPr>
        <w:tab/>
      </w:r>
      <w:r>
        <w:rPr>
          <w:rFonts w:hint="eastAsia"/>
          <w:lang w:val="en-US" w:eastAsia="zh-CN"/>
        </w:rPr>
        <w:tab/>
      </w:r>
      <w:r>
        <w:rPr>
          <w:rFonts w:hint="eastAsia"/>
          <w:lang w:val="en-US" w:eastAsia="zh-CN"/>
        </w:rPr>
        <w:t>D.木材∶木头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23.上市∶停牌∶退市</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A.水洗∶熨烫∶干洗</w:t>
      </w:r>
      <w:r>
        <w:rPr>
          <w:rFonts w:hint="eastAsia"/>
          <w:lang w:val="en-US" w:eastAsia="zh-CN"/>
        </w:rPr>
        <w:tab/>
      </w:r>
      <w:r>
        <w:rPr>
          <w:rFonts w:hint="eastAsia"/>
          <w:lang w:val="en-US" w:eastAsia="zh-CN"/>
        </w:rPr>
        <w:tab/>
      </w:r>
      <w:r>
        <w:rPr>
          <w:rFonts w:hint="eastAsia"/>
          <w:lang w:val="en-US" w:eastAsia="zh-CN"/>
        </w:rPr>
        <w:t>B.写书∶出书∶编纂</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C.听题∶抢答∶得分</w:t>
      </w:r>
      <w:r>
        <w:rPr>
          <w:rFonts w:hint="eastAsia"/>
          <w:lang w:val="en-US" w:eastAsia="zh-CN"/>
        </w:rPr>
        <w:tab/>
      </w:r>
      <w:r>
        <w:rPr>
          <w:rFonts w:hint="eastAsia"/>
          <w:lang w:val="en-US" w:eastAsia="zh-CN"/>
        </w:rPr>
        <w:tab/>
      </w:r>
      <w:r>
        <w:rPr>
          <w:rFonts w:hint="eastAsia"/>
          <w:lang w:val="en-US" w:eastAsia="zh-CN"/>
        </w:rPr>
        <w:t>D.谱曲∶演唱∶伴舞</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24.甲早于乙∶乙早于丙∶甲早于丙</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A.甲战胜乙∶乙战胜丙∶甲战胜丙</w:t>
      </w:r>
      <w:r>
        <w:rPr>
          <w:rFonts w:hint="eastAsia"/>
          <w:lang w:val="en-US" w:eastAsia="zh-CN"/>
        </w:rPr>
        <w:tab/>
      </w:r>
      <w:r>
        <w:rPr>
          <w:rFonts w:hint="eastAsia"/>
          <w:lang w:val="en-US" w:eastAsia="zh-CN"/>
        </w:rPr>
        <w:t>B.甲属于乙∶乙属于丙∶甲属于丙</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C.甲信任乙∶乙信任丙∶甲信任丙</w:t>
      </w:r>
      <w:r>
        <w:rPr>
          <w:rFonts w:hint="eastAsia"/>
          <w:lang w:val="en-US" w:eastAsia="zh-CN"/>
        </w:rPr>
        <w:tab/>
      </w:r>
      <w:r>
        <w:rPr>
          <w:rFonts w:hint="eastAsia"/>
          <w:lang w:val="en-US" w:eastAsia="zh-CN"/>
        </w:rPr>
        <w:t>D.甲帮助乙∶乙帮助丙∶甲帮助丙</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25.军官  对于  （    ）  相当于  （    ）  对于  国旗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A.军人  龙幡</w:t>
      </w:r>
      <w:r>
        <w:rPr>
          <w:rFonts w:hint="eastAsia"/>
          <w:lang w:val="en-US" w:eastAsia="zh-CN"/>
        </w:rPr>
        <w:tab/>
      </w:r>
      <w:r>
        <w:rPr>
          <w:rFonts w:hint="eastAsia"/>
          <w:lang w:val="en-US" w:eastAsia="zh-CN"/>
        </w:rPr>
        <w:tab/>
      </w:r>
      <w:r>
        <w:rPr>
          <w:rFonts w:hint="eastAsia"/>
          <w:lang w:val="en-US" w:eastAsia="zh-CN"/>
        </w:rPr>
        <w:t>B.少校  旗帜</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C.上将  八旗</w:t>
      </w:r>
      <w:r>
        <w:rPr>
          <w:rFonts w:hint="eastAsia"/>
          <w:lang w:val="en-US" w:eastAsia="zh-CN"/>
        </w:rPr>
        <w:tab/>
      </w:r>
      <w:r>
        <w:rPr>
          <w:rFonts w:hint="eastAsia"/>
          <w:lang w:val="en-US" w:eastAsia="zh-CN"/>
        </w:rPr>
        <w:tab/>
      </w:r>
      <w:r>
        <w:rPr>
          <w:rFonts w:hint="eastAsia"/>
          <w:lang w:val="en-US" w:eastAsia="zh-CN"/>
        </w:rPr>
        <w:t>D.军队  锦旗</w:t>
      </w:r>
    </w:p>
    <w:p>
      <w:pPr>
        <w:pStyle w:val="8"/>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四、图形推理：请按每道题的答题要求作答。</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26</w:t>
      </w:r>
      <w:r>
        <w:rPr>
          <w:rFonts w:hint="eastAsia" w:ascii="宋体" w:hAnsi="宋体" w:eastAsia="宋体" w:cs="宋体"/>
          <w:i w:val="0"/>
          <w:caps w:val="0"/>
          <w:color w:val="auto"/>
          <w:spacing w:val="0"/>
          <w:kern w:val="2"/>
          <w:sz w:val="21"/>
          <w:szCs w:val="21"/>
          <w:shd w:val="clear" w:fill="FFFFFF"/>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066415" cy="1362710"/>
            <wp:effectExtent l="0" t="0" r="635" b="8890"/>
            <wp:docPr id="21"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descr="IMG_256"/>
                    <pic:cNvPicPr>
                      <a:picLocks noChangeAspect="1"/>
                    </pic:cNvPicPr>
                  </pic:nvPicPr>
                  <pic:blipFill>
                    <a:blip r:embed="rId20"/>
                    <a:stretch>
                      <a:fillRect/>
                    </a:stretch>
                  </pic:blipFill>
                  <pic:spPr>
                    <a:xfrm>
                      <a:off x="0" y="0"/>
                      <a:ext cx="3066415" cy="13627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27.从所给的四个选项中，选择最合适的一个填入问号处，使之呈现一定的规律性。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4010660" cy="1373505"/>
            <wp:effectExtent l="0" t="0" r="8890" b="17145"/>
            <wp:docPr id="8"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descr="IMG_256"/>
                    <pic:cNvPicPr>
                      <a:picLocks noChangeAspect="1"/>
                    </pic:cNvPicPr>
                  </pic:nvPicPr>
                  <pic:blipFill>
                    <a:blip r:embed="rId21"/>
                    <a:stretch>
                      <a:fillRect/>
                    </a:stretch>
                  </pic:blipFill>
                  <pic:spPr>
                    <a:xfrm>
                      <a:off x="0" y="0"/>
                      <a:ext cx="4010660" cy="137350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28.从所给的四个选项中，选择最合适的一个填入问号处，使之呈现一定的规律性。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drawing>
          <wp:inline distT="0" distB="0" distL="114300" distR="114300">
            <wp:extent cx="3670935" cy="1518285"/>
            <wp:effectExtent l="0" t="0" r="5715" b="5715"/>
            <wp:docPr id="19" name="图片 1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1"/>
                    <pic:cNvPicPr>
                      <a:picLocks noChangeAspect="1"/>
                    </pic:cNvPicPr>
                  </pic:nvPicPr>
                  <pic:blipFill>
                    <a:blip r:embed="rId22"/>
                    <a:stretch>
                      <a:fillRect/>
                    </a:stretch>
                  </pic:blipFill>
                  <pic:spPr>
                    <a:xfrm>
                      <a:off x="0" y="0"/>
                      <a:ext cx="3670935" cy="1518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29.把下面的六个图形分为两类，使每一类图形都有各自的共同特征或规律，分类正确的一项是（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4324350" cy="857250"/>
            <wp:effectExtent l="0" t="0" r="0" b="0"/>
            <wp:docPr id="14"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IMG_256"/>
                    <pic:cNvPicPr>
                      <a:picLocks noChangeAspect="1"/>
                    </pic:cNvPicPr>
                  </pic:nvPicPr>
                  <pic:blipFill>
                    <a:blip r:embed="rId23"/>
                    <a:stretch>
                      <a:fillRect/>
                    </a:stretch>
                  </pic:blipFill>
                  <pic:spPr>
                    <a:xfrm>
                      <a:off x="0" y="0"/>
                      <a:ext cx="4324350" cy="8572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A.①④⑤，②③⑥</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B.①②⑤，③④⑥</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C.①③⑤，②④⑥</w:t>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ab/>
      </w:r>
      <w:r>
        <w:rPr>
          <w:rFonts w:hint="eastAsia" w:cs="宋体"/>
          <w:i w:val="0"/>
          <w:caps w:val="0"/>
          <w:color w:val="auto"/>
          <w:spacing w:val="0"/>
          <w:kern w:val="2"/>
          <w:sz w:val="21"/>
          <w:szCs w:val="21"/>
          <w:shd w:val="clear" w:fill="FFFFFF"/>
          <w:lang w:val="en-US" w:eastAsia="zh-CN"/>
        </w:rPr>
        <w:t>D.①④⑥，②③⑤</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30.下图所示立方体沿OMN面斜切，由切面所见截面可能是（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宋体"/>
          <w:i w:val="0"/>
          <w:caps w:val="0"/>
          <w:color w:val="auto"/>
          <w:spacing w:val="0"/>
          <w:kern w:val="2"/>
          <w:sz w:val="21"/>
          <w:szCs w:val="21"/>
          <w:shd w:val="clear" w:fill="FFFFFF"/>
          <w:lang w:val="en-US" w:eastAsia="zh-CN"/>
        </w:rPr>
      </w:pPr>
      <w:r>
        <w:rPr>
          <w:rFonts w:ascii="宋体" w:hAnsi="宋体" w:eastAsia="宋体" w:cs="宋体"/>
          <w:sz w:val="24"/>
          <w:szCs w:val="24"/>
        </w:rPr>
        <w:drawing>
          <wp:inline distT="0" distB="0" distL="114300" distR="114300">
            <wp:extent cx="3791585" cy="988060"/>
            <wp:effectExtent l="0" t="0" r="18415" b="2540"/>
            <wp:docPr id="18"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IMG_256"/>
                    <pic:cNvPicPr>
                      <a:picLocks noChangeAspect="1"/>
                    </pic:cNvPicPr>
                  </pic:nvPicPr>
                  <pic:blipFill>
                    <a:blip r:embed="rId24"/>
                    <a:stretch>
                      <a:fillRect/>
                    </a:stretch>
                  </pic:blipFill>
                  <pic:spPr>
                    <a:xfrm>
                      <a:off x="0" y="0"/>
                      <a:ext cx="3791585" cy="988060"/>
                    </a:xfrm>
                    <a:prstGeom prst="rect">
                      <a:avLst/>
                    </a:prstGeom>
                    <a:noFill/>
                    <a:ln w="9525">
                      <a:noFill/>
                    </a:ln>
                  </pic:spPr>
                </pic:pic>
              </a:graphicData>
            </a:graphic>
          </wp:inline>
        </w:drawing>
      </w:r>
    </w:p>
    <w:p>
      <w:pPr>
        <w:pStyle w:val="8"/>
        <w:keepNext/>
        <w:keepLines w:val="0"/>
        <w:pageBreakBefore w:val="0"/>
        <w:widowControl w:val="0"/>
        <w:kinsoku/>
        <w:wordWrap/>
        <w:overflowPunct/>
        <w:topLinePunct w:val="0"/>
        <w:autoSpaceDE/>
        <w:autoSpaceDN/>
        <w:bidi w:val="0"/>
        <w:adjustRightInd/>
        <w:snapToGrid/>
        <w:textAlignment w:val="auto"/>
        <w:rPr>
          <w:rFonts w:hint="eastAsia"/>
          <w:color w:val="auto"/>
        </w:rPr>
      </w:pPr>
      <w:r>
        <w:rPr>
          <w:rFonts w:hint="eastAsia"/>
          <w:color w:val="auto"/>
          <w:lang w:eastAsia="zh-CN"/>
        </w:rPr>
        <w:t>五、</w:t>
      </w:r>
      <w:r>
        <w:rPr>
          <w:rFonts w:hint="eastAsia"/>
          <w:color w:val="auto"/>
        </w:rPr>
        <w:t>资料分析：根据资料，回答后面的问题。</w:t>
      </w:r>
    </w:p>
    <w:p>
      <w:pPr>
        <w:rPr>
          <w:rFonts w:hint="eastAsia" w:ascii="宋体" w:hAnsi="宋体" w:eastAsia="宋体" w:cs="宋体"/>
          <w:b/>
          <w:bCs/>
          <w:sz w:val="21"/>
          <w:szCs w:val="21"/>
        </w:rPr>
      </w:pPr>
      <w:r>
        <w:rPr>
          <w:rFonts w:hint="eastAsia" w:ascii="宋体" w:eastAsia="宋体"/>
          <w:b/>
          <w:bCs/>
          <w:lang w:val="en-US" w:eastAsia="zh-CN"/>
        </w:rPr>
        <w:t>根据以下资料，回答</w:t>
      </w:r>
      <w:r>
        <w:rPr>
          <w:rFonts w:hint="eastAsia"/>
          <w:b/>
          <w:bCs/>
          <w:lang w:val="en-US" w:eastAsia="zh-CN"/>
        </w:rPr>
        <w:t>31</w:t>
      </w:r>
      <w:r>
        <w:rPr>
          <w:rFonts w:hint="eastAsia" w:ascii="宋体" w:eastAsia="宋体"/>
          <w:b/>
          <w:bCs/>
          <w:lang w:val="en-US" w:eastAsia="zh-CN"/>
        </w:rPr>
        <w:t>～</w:t>
      </w:r>
      <w:r>
        <w:rPr>
          <w:rFonts w:hint="eastAsia"/>
          <w:b/>
          <w:bCs/>
          <w:lang w:val="en-US" w:eastAsia="zh-CN"/>
        </w:rPr>
        <w:t>35</w:t>
      </w:r>
      <w:r>
        <w:rPr>
          <w:rFonts w:hint="eastAsia" w:ascii="宋体" w:eastAsia="宋体"/>
          <w:b/>
          <w:bCs/>
          <w:lang w:val="en-US" w:eastAsia="zh-CN"/>
        </w:rPr>
        <w:t>题。</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2021年1～2月，J省发电量为167亿千瓦时，其中风力发电量为17.4亿千瓦时。</w:t>
      </w:r>
    </w:p>
    <w:p>
      <w:pPr>
        <w:bidi w:val="0"/>
        <w:ind w:left="0" w:leftChars="0" w:firstLine="0" w:firstLineChars="0"/>
        <w:jc w:val="center"/>
        <w:rPr>
          <w:rFonts w:hint="eastAsia" w:ascii="黑体" w:hAnsi="黑体" w:eastAsia="黑体" w:cs="黑体"/>
        </w:rPr>
      </w:pPr>
      <w:r>
        <w:rPr>
          <w:rFonts w:hint="eastAsia" w:ascii="黑体" w:hAnsi="黑体" w:eastAsia="黑体" w:cs="黑体"/>
        </w:rPr>
        <w:t>图1  2020年2～12月J省累计发电量及同比增速</w:t>
      </w:r>
    </w:p>
    <w:p>
      <w:pPr>
        <w:tabs>
          <w:tab w:val="left" w:pos="2310"/>
          <w:tab w:val="left" w:pos="4200"/>
          <w:tab w:val="left" w:pos="6090"/>
          <w:tab w:val="clear" w:pos="2520"/>
          <w:tab w:val="clear" w:pos="4620"/>
          <w:tab w:val="clear" w:pos="6720"/>
        </w:tabs>
        <w:ind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3990340" cy="2852420"/>
            <wp:effectExtent l="0" t="0" r="10160" b="5080"/>
            <wp:docPr id="47" name="图片 4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1"/>
                    <pic:cNvPicPr>
                      <a:picLocks noChangeAspect="1"/>
                    </pic:cNvPicPr>
                  </pic:nvPicPr>
                  <pic:blipFill>
                    <a:blip r:embed="rId25"/>
                    <a:stretch>
                      <a:fillRect/>
                    </a:stretch>
                  </pic:blipFill>
                  <pic:spPr>
                    <a:xfrm>
                      <a:off x="0" y="0"/>
                      <a:ext cx="3990340" cy="2852420"/>
                    </a:xfrm>
                    <a:prstGeom prst="rect">
                      <a:avLst/>
                    </a:prstGeom>
                  </pic:spPr>
                </pic:pic>
              </a:graphicData>
            </a:graphic>
          </wp:inline>
        </w:drawing>
      </w:r>
    </w:p>
    <w:p>
      <w:pPr>
        <w:tabs>
          <w:tab w:val="left" w:pos="2310"/>
          <w:tab w:val="left" w:pos="4200"/>
          <w:tab w:val="left" w:pos="6090"/>
          <w:tab w:val="clear" w:pos="2520"/>
          <w:tab w:val="clear" w:pos="4620"/>
          <w:tab w:val="clear" w:pos="6720"/>
        </w:tabs>
        <w:ind w:firstLine="0" w:firstLineChars="0"/>
        <w:jc w:val="center"/>
        <w:rPr>
          <w:rFonts w:ascii="黑体" w:hAnsi="黑体" w:eastAsia="黑体" w:cs="黑体"/>
          <w:szCs w:val="21"/>
        </w:rPr>
      </w:pPr>
      <w:r>
        <w:rPr>
          <w:rFonts w:hint="eastAsia" w:ascii="黑体" w:hAnsi="黑体" w:eastAsia="黑体" w:cs="黑体"/>
          <w:szCs w:val="21"/>
        </w:rPr>
        <w:t>图2  2020年2～12月J省累计风力发电量及同比增速</w:t>
      </w:r>
    </w:p>
    <w:p>
      <w:pPr>
        <w:tabs>
          <w:tab w:val="left" w:pos="2310"/>
          <w:tab w:val="left" w:pos="4200"/>
          <w:tab w:val="left" w:pos="6090"/>
          <w:tab w:val="clear" w:pos="2520"/>
          <w:tab w:val="clear" w:pos="4620"/>
          <w:tab w:val="clear" w:pos="6720"/>
        </w:tabs>
        <w:ind w:firstLine="0" w:firstLineChars="0"/>
        <w:jc w:val="center"/>
        <w:rPr>
          <w:rFonts w:ascii="宋体" w:hAnsi="宋体" w:eastAsia="宋体" w:cs="宋体"/>
          <w:szCs w:val="21"/>
        </w:rPr>
      </w:pPr>
      <w:r>
        <w:rPr>
          <w:rFonts w:ascii="宋体" w:hAnsi="宋体" w:eastAsia="宋体" w:cs="宋体"/>
          <w:szCs w:val="21"/>
        </w:rPr>
        <w:drawing>
          <wp:inline distT="0" distB="0" distL="114300" distR="114300">
            <wp:extent cx="4532630" cy="2676525"/>
            <wp:effectExtent l="0" t="0" r="127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6"/>
                    <a:stretch>
                      <a:fillRect/>
                    </a:stretch>
                  </pic:blipFill>
                  <pic:spPr>
                    <a:xfrm>
                      <a:off x="0" y="0"/>
                      <a:ext cx="4532630" cy="2676525"/>
                    </a:xfrm>
                    <a:prstGeom prst="rect">
                      <a:avLst/>
                    </a:prstGeom>
                    <a:noFill/>
                    <a:ln>
                      <a:noFill/>
                    </a:ln>
                  </pic:spPr>
                </pic:pic>
              </a:graphicData>
            </a:graphic>
          </wp:inline>
        </w:drawing>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cs="宋体"/>
          <w:szCs w:val="21"/>
          <w:lang w:val="en-US" w:eastAsia="zh-CN"/>
        </w:rPr>
        <w:t>31</w:t>
      </w:r>
      <w:r>
        <w:rPr>
          <w:rFonts w:hint="eastAsia" w:ascii="宋体" w:hAnsi="宋体" w:eastAsia="宋体" w:cs="宋体"/>
          <w:szCs w:val="21"/>
        </w:rPr>
        <w:t>.2020年第二季度，J省除风力发电</w:t>
      </w:r>
      <w:r>
        <w:rPr>
          <w:rFonts w:hint="eastAsia" w:ascii="宋体" w:hAnsi="宋体" w:eastAsia="宋体" w:cs="宋体"/>
          <w:szCs w:val="21"/>
          <w:lang w:eastAsia="zh-CN"/>
        </w:rPr>
        <w:t>之</w:t>
      </w:r>
      <w:r>
        <w:rPr>
          <w:rFonts w:hint="eastAsia" w:ascii="宋体" w:hAnsi="宋体" w:eastAsia="宋体" w:cs="宋体"/>
          <w:szCs w:val="21"/>
        </w:rPr>
        <w:t>外的发电量在以下</w:t>
      </w:r>
      <w:r>
        <w:rPr>
          <w:rFonts w:hint="eastAsia" w:ascii="宋体" w:hAnsi="宋体" w:eastAsia="宋体" w:cs="宋体"/>
          <w:szCs w:val="21"/>
          <w:lang w:eastAsia="zh-CN"/>
        </w:rPr>
        <w:t>哪</w:t>
      </w:r>
      <w:r>
        <w:rPr>
          <w:rFonts w:hint="eastAsia" w:ascii="宋体" w:hAnsi="宋体" w:eastAsia="宋体" w:cs="宋体"/>
          <w:szCs w:val="21"/>
        </w:rPr>
        <w:t>个范围内？（    ）</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A.不到200亿千瓦时</w:t>
      </w:r>
      <w:r>
        <w:rPr>
          <w:rFonts w:hint="eastAsia" w:ascii="宋体" w:hAnsi="宋体" w:eastAsia="宋体" w:cs="宋体"/>
          <w:szCs w:val="21"/>
        </w:rPr>
        <w:tab/>
      </w:r>
      <w:r>
        <w:rPr>
          <w:rFonts w:hint="eastAsia" w:ascii="宋体" w:hAnsi="宋体" w:eastAsia="宋体" w:cs="宋体"/>
          <w:szCs w:val="21"/>
        </w:rPr>
        <w:t>B.在200～215亿千瓦时之间</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C.在215～230亿千瓦时之间</w:t>
      </w:r>
      <w:r>
        <w:rPr>
          <w:rFonts w:hint="eastAsia" w:ascii="宋体" w:hAnsi="宋体" w:eastAsia="宋体" w:cs="宋体"/>
          <w:szCs w:val="21"/>
        </w:rPr>
        <w:tab/>
      </w:r>
      <w:r>
        <w:rPr>
          <w:rFonts w:hint="eastAsia" w:ascii="宋体" w:hAnsi="宋体" w:eastAsia="宋体" w:cs="宋体"/>
          <w:szCs w:val="21"/>
        </w:rPr>
        <w:t>D.超过230亿千瓦时</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cs="宋体"/>
          <w:szCs w:val="21"/>
          <w:lang w:val="en-US" w:eastAsia="zh-CN"/>
        </w:rPr>
        <w:t>32</w:t>
      </w:r>
      <w:r>
        <w:rPr>
          <w:rFonts w:hint="eastAsia" w:ascii="宋体" w:hAnsi="宋体" w:eastAsia="宋体" w:cs="宋体"/>
          <w:szCs w:val="21"/>
        </w:rPr>
        <w:t>.2021年1～2月J省累计发电量同比增速比同期风力发电量同比增速（    ）。</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A.高不到10个百分点</w:t>
      </w:r>
      <w:r>
        <w:rPr>
          <w:rFonts w:hint="eastAsia" w:ascii="宋体" w:hAnsi="宋体" w:eastAsia="宋体" w:cs="宋体"/>
          <w:szCs w:val="21"/>
        </w:rPr>
        <w:tab/>
      </w:r>
      <w:r>
        <w:rPr>
          <w:rFonts w:hint="eastAsia" w:ascii="宋体" w:hAnsi="宋体" w:eastAsia="宋体" w:cs="宋体"/>
          <w:szCs w:val="21"/>
        </w:rPr>
        <w:t>B.低不到10个百分点</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C.高10个百分点以上</w:t>
      </w:r>
      <w:r>
        <w:rPr>
          <w:rFonts w:hint="eastAsia" w:ascii="宋体" w:hAnsi="宋体" w:eastAsia="宋体" w:cs="宋体"/>
          <w:szCs w:val="21"/>
        </w:rPr>
        <w:tab/>
      </w:r>
      <w:r>
        <w:rPr>
          <w:rFonts w:hint="eastAsia" w:ascii="宋体" w:hAnsi="宋体" w:eastAsia="宋体" w:cs="宋体"/>
          <w:szCs w:val="21"/>
        </w:rPr>
        <w:t>D.低10个百分点以上</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cs="宋体"/>
          <w:szCs w:val="21"/>
          <w:lang w:val="en-US" w:eastAsia="zh-CN"/>
        </w:rPr>
        <w:t>33</w:t>
      </w:r>
      <w:r>
        <w:rPr>
          <w:rFonts w:hint="eastAsia" w:ascii="宋体" w:hAnsi="宋体" w:eastAsia="宋体" w:cs="宋体"/>
          <w:szCs w:val="21"/>
        </w:rPr>
        <w:t>.2020年3～12月间，J省当月发电量同比增速快于当月累计发电量同比增速的月份有几个？（    ）</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A.5</w:t>
      </w:r>
      <w:r>
        <w:rPr>
          <w:rFonts w:hint="eastAsia" w:ascii="宋体" w:hAnsi="宋体" w:eastAsia="宋体" w:cs="宋体"/>
          <w:szCs w:val="21"/>
        </w:rPr>
        <w:tab/>
      </w:r>
      <w:r>
        <w:rPr>
          <w:rFonts w:hint="eastAsia" w:ascii="宋体" w:hAnsi="宋体" w:eastAsia="宋体" w:cs="宋体"/>
          <w:szCs w:val="21"/>
        </w:rPr>
        <w:t>B.6</w:t>
      </w:r>
      <w:r>
        <w:rPr>
          <w:rFonts w:hint="eastAsia" w:ascii="宋体" w:hAnsi="宋体" w:eastAsia="宋体" w:cs="宋体"/>
          <w:szCs w:val="21"/>
        </w:rPr>
        <w:tab/>
      </w:r>
      <w:r>
        <w:rPr>
          <w:rFonts w:hint="eastAsia" w:ascii="宋体" w:hAnsi="宋体" w:eastAsia="宋体" w:cs="宋体"/>
          <w:szCs w:val="21"/>
        </w:rPr>
        <w:t>C.7</w:t>
      </w:r>
      <w:r>
        <w:rPr>
          <w:rFonts w:hint="eastAsia" w:ascii="宋体" w:hAnsi="宋体" w:eastAsia="宋体" w:cs="宋体"/>
          <w:szCs w:val="21"/>
        </w:rPr>
        <w:tab/>
      </w:r>
      <w:r>
        <w:rPr>
          <w:rFonts w:hint="eastAsia" w:ascii="宋体" w:hAnsi="宋体" w:eastAsia="宋体" w:cs="宋体"/>
          <w:szCs w:val="21"/>
        </w:rPr>
        <w:t>D.8</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cs="宋体"/>
          <w:szCs w:val="21"/>
          <w:lang w:val="en-US" w:eastAsia="zh-CN"/>
        </w:rPr>
        <w:t>34</w:t>
      </w:r>
      <w:r>
        <w:rPr>
          <w:rFonts w:hint="eastAsia" w:ascii="宋体" w:hAnsi="宋体" w:eastAsia="宋体" w:cs="宋体"/>
          <w:szCs w:val="21"/>
        </w:rPr>
        <w:t>.将2020年四个季度按J省风力发电量由高到低的顺序排列，以下正确的是（    ）。</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A.第三季度、第一季度、第二季度、第四季度</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B.第四季度、第二季度、第一季度、第三季度</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C.第四季度、第三季度、第一季度、第二季度</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ascii="宋体" w:hAnsi="宋体" w:eastAsia="宋体" w:cs="宋体"/>
          <w:szCs w:val="21"/>
        </w:rPr>
        <w:t>D.第三季度、第一季度、第四季度、第二季度</w:t>
      </w:r>
    </w:p>
    <w:p>
      <w:pPr>
        <w:tabs>
          <w:tab w:val="left" w:pos="2310"/>
          <w:tab w:val="left" w:pos="4200"/>
          <w:tab w:val="left" w:pos="6090"/>
          <w:tab w:val="clear" w:pos="2520"/>
          <w:tab w:val="clear" w:pos="4620"/>
          <w:tab w:val="clear" w:pos="6720"/>
        </w:tabs>
        <w:ind w:firstLine="420"/>
        <w:rPr>
          <w:rFonts w:ascii="宋体" w:hAnsi="宋体" w:eastAsia="宋体" w:cs="宋体"/>
          <w:szCs w:val="21"/>
        </w:rPr>
      </w:pPr>
      <w:r>
        <w:rPr>
          <w:rFonts w:hint="eastAsia" w:cs="宋体"/>
          <w:szCs w:val="21"/>
          <w:lang w:val="en-US" w:eastAsia="zh-CN"/>
        </w:rPr>
        <w:t>35</w:t>
      </w:r>
      <w:r>
        <w:rPr>
          <w:rFonts w:hint="eastAsia" w:ascii="宋体" w:hAnsi="宋体" w:eastAsia="宋体" w:cs="宋体"/>
          <w:szCs w:val="21"/>
        </w:rPr>
        <w:t>.以下折线图反映了2020年</w:t>
      </w:r>
      <w:r>
        <w:rPr>
          <w:rFonts w:hint="eastAsia" w:ascii="宋体" w:hAnsi="宋体" w:eastAsia="宋体" w:cs="宋体"/>
          <w:szCs w:val="21"/>
          <w:lang w:eastAsia="zh-CN"/>
        </w:rPr>
        <w:t>哪</w:t>
      </w:r>
      <w:r>
        <w:rPr>
          <w:rFonts w:hint="eastAsia" w:ascii="宋体" w:hAnsi="宋体" w:eastAsia="宋体" w:cs="宋体"/>
          <w:szCs w:val="21"/>
        </w:rPr>
        <w:t>个时间段内J省单月发电量的变化趋势？（    ）</w:t>
      </w:r>
    </w:p>
    <w:p>
      <w:pPr>
        <w:tabs>
          <w:tab w:val="left" w:pos="2310"/>
          <w:tab w:val="left" w:pos="4200"/>
          <w:tab w:val="left" w:pos="6090"/>
          <w:tab w:val="clear" w:pos="2520"/>
          <w:tab w:val="clear" w:pos="4620"/>
          <w:tab w:val="clear" w:pos="6720"/>
        </w:tabs>
        <w:ind w:firstLine="0" w:firstLineChars="0"/>
        <w:jc w:val="center"/>
        <w:rPr>
          <w:rFonts w:ascii="宋体" w:hAnsi="宋体" w:eastAsia="宋体" w:cs="宋体"/>
          <w:szCs w:val="21"/>
        </w:rPr>
      </w:pPr>
      <w:r>
        <w:rPr>
          <w:rFonts w:ascii="宋体" w:hAnsi="宋体" w:eastAsia="宋体" w:cs="宋体"/>
          <w:szCs w:val="21"/>
        </w:rPr>
        <w:drawing>
          <wp:inline distT="0" distB="0" distL="114300" distR="114300">
            <wp:extent cx="2077085" cy="1075690"/>
            <wp:effectExtent l="0" t="0" r="18415" b="1016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7"/>
                    <a:stretch>
                      <a:fillRect/>
                    </a:stretch>
                  </pic:blipFill>
                  <pic:spPr>
                    <a:xfrm>
                      <a:off x="0" y="0"/>
                      <a:ext cx="2077085" cy="1075690"/>
                    </a:xfrm>
                    <a:prstGeom prst="rect">
                      <a:avLst/>
                    </a:prstGeom>
                    <a:noFill/>
                    <a:ln>
                      <a:noFill/>
                    </a:ln>
                  </pic:spPr>
                </pic:pic>
              </a:graphicData>
            </a:graphic>
          </wp:inline>
        </w:drawing>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FF0000"/>
          <w:kern w:val="2"/>
          <w:sz w:val="21"/>
          <w:szCs w:val="21"/>
          <w:lang w:eastAsia="zh-CN"/>
        </w:rPr>
      </w:pPr>
      <w:r>
        <w:rPr>
          <w:rFonts w:hint="eastAsia" w:ascii="宋体" w:hAnsi="宋体" w:eastAsia="宋体" w:cs="宋体"/>
          <w:szCs w:val="21"/>
        </w:rPr>
        <w:t>A.3～7月</w:t>
      </w:r>
      <w:r>
        <w:rPr>
          <w:rFonts w:hint="eastAsia" w:ascii="宋体" w:hAnsi="宋体" w:eastAsia="宋体" w:cs="宋体"/>
          <w:szCs w:val="21"/>
        </w:rPr>
        <w:tab/>
      </w:r>
      <w:r>
        <w:rPr>
          <w:rFonts w:hint="eastAsia" w:ascii="宋体" w:hAnsi="宋体" w:eastAsia="宋体" w:cs="宋体"/>
          <w:szCs w:val="21"/>
        </w:rPr>
        <w:t>B.4～8月</w:t>
      </w:r>
      <w:r>
        <w:rPr>
          <w:rFonts w:hint="eastAsia" w:ascii="宋体" w:hAnsi="宋体" w:eastAsia="宋体" w:cs="宋体"/>
          <w:szCs w:val="21"/>
        </w:rPr>
        <w:tab/>
      </w:r>
      <w:r>
        <w:rPr>
          <w:rFonts w:hint="eastAsia" w:ascii="宋体" w:hAnsi="宋体" w:eastAsia="宋体" w:cs="宋体"/>
          <w:szCs w:val="21"/>
        </w:rPr>
        <w:t>C.5～9月</w:t>
      </w:r>
      <w:r>
        <w:rPr>
          <w:rFonts w:hint="eastAsia" w:ascii="宋体" w:hAnsi="宋体" w:eastAsia="宋体" w:cs="宋体"/>
          <w:szCs w:val="21"/>
        </w:rPr>
        <w:tab/>
      </w:r>
      <w:r>
        <w:rPr>
          <w:rFonts w:hint="eastAsia" w:ascii="宋体" w:hAnsi="宋体" w:eastAsia="宋体" w:cs="宋体"/>
          <w:szCs w:val="21"/>
        </w:rPr>
        <w:t>D.6～10月</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eastAsia" w:ascii="宋体" w:hAnsi="宋体" w:eastAsia="宋体" w:cs="宋体"/>
          <w:b/>
          <w:bCs/>
          <w:sz w:val="21"/>
          <w:szCs w:val="21"/>
        </w:rPr>
      </w:pPr>
    </w:p>
    <w:p>
      <w:pPr>
        <w:ind w:firstLine="420"/>
        <w:rPr>
          <w:rFonts w:hint="eastAsia" w:ascii="宋体" w:hAnsi="宋体" w:eastAsia="宋体" w:cs="宋体"/>
          <w:b/>
          <w:bCs/>
          <w:sz w:val="21"/>
          <w:szCs w:val="21"/>
        </w:rPr>
      </w:pPr>
      <w:r>
        <w:rPr>
          <w:rFonts w:hint="eastAsia" w:ascii="宋体" w:hAnsi="宋体" w:eastAsia="宋体" w:cs="宋体"/>
          <w:b/>
          <w:bCs/>
          <w:sz w:val="21"/>
          <w:szCs w:val="21"/>
        </w:rPr>
        <w:t>根据以下资料，回答</w:t>
      </w:r>
      <w:r>
        <w:rPr>
          <w:rFonts w:hint="eastAsia" w:cs="宋体"/>
          <w:b/>
          <w:bCs/>
          <w:sz w:val="21"/>
          <w:szCs w:val="21"/>
          <w:lang w:val="en-US" w:eastAsia="zh-CN"/>
        </w:rPr>
        <w:t>36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4</w:t>
      </w:r>
      <w:r>
        <w:rPr>
          <w:rFonts w:hint="eastAsia" w:cs="宋体"/>
          <w:b/>
          <w:bCs/>
          <w:sz w:val="21"/>
          <w:szCs w:val="21"/>
          <w:lang w:val="en-US" w:eastAsia="zh-CN"/>
        </w:rPr>
        <w:t>0</w:t>
      </w:r>
      <w:bookmarkStart w:id="0" w:name="_GoBack"/>
      <w:bookmarkEnd w:id="0"/>
      <w:r>
        <w:rPr>
          <w:rFonts w:hint="eastAsia" w:ascii="宋体" w:hAnsi="宋体" w:eastAsia="宋体" w:cs="宋体"/>
          <w:b/>
          <w:bCs/>
          <w:sz w:val="21"/>
          <w:szCs w:val="21"/>
        </w:rPr>
        <w:t>题。</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2019年我国农民工规模继续扩大，总量达到29077万人，同比增长0.8%。其中，本地农民工11652万人，比上年增加82万人；外出农民工17425万人，比上年增加159万人。外出农民工中，在省内就业的农民工9917万人，比上年增加245万人；跨省流动农民工7508万人，比上年减少86万人。</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2015～2019年我国农民工规模及增速</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4486275" cy="2619375"/>
            <wp:effectExtent l="0" t="0" r="9525" b="9525"/>
            <wp:docPr id="34"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descr="IMG_256"/>
                    <pic:cNvPicPr>
                      <a:picLocks noChangeAspect="1"/>
                    </pic:cNvPicPr>
                  </pic:nvPicPr>
                  <pic:blipFill>
                    <a:blip r:embed="rId28"/>
                    <a:stretch>
                      <a:fillRect/>
                    </a:stretch>
                  </pic:blipFill>
                  <pic:spPr>
                    <a:xfrm>
                      <a:off x="0" y="0"/>
                      <a:ext cx="4486275" cy="26193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从收入看，农民工集中就业的六大行业月均收入均稳定增长。2019年农民工月均收入约4000元；其中外出农民工月均收入4427元，比上年增加320元；本地农民工月均收入3500元，比上年增加160元。分区域看，在东部地区就业的农民工月均收入4222元，比上年增长6.8%；在中部地区就业的农民工月均收入3794元，比上年增长6.3%；在西部地区就业的农民工月均收入3723元，比上年增长5.7%；在东北地区就业的农民工月均收入3469元，同比增长5.2%。</w:t>
      </w: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六大行业农民工月均收入（单位：元）</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s="宋体"/>
          <w:b w:val="0"/>
          <w:bCs w:val="0"/>
          <w:sz w:val="21"/>
          <w:szCs w:val="21"/>
          <w:lang w:val="en-US" w:eastAsia="zh-CN"/>
        </w:rPr>
      </w:pPr>
      <w:r>
        <w:rPr>
          <w:rFonts w:ascii="宋体" w:hAnsi="宋体" w:eastAsia="宋体" w:cs="宋体"/>
          <w:sz w:val="24"/>
          <w:szCs w:val="24"/>
        </w:rPr>
        <w:drawing>
          <wp:inline distT="0" distB="0" distL="114300" distR="114300">
            <wp:extent cx="4048125" cy="1876425"/>
            <wp:effectExtent l="0" t="0" r="9525" b="9525"/>
            <wp:docPr id="35"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IMG_256"/>
                    <pic:cNvPicPr>
                      <a:picLocks noChangeAspect="1"/>
                    </pic:cNvPicPr>
                  </pic:nvPicPr>
                  <pic:blipFill>
                    <a:blip r:embed="rId29"/>
                    <a:stretch>
                      <a:fillRect/>
                    </a:stretch>
                  </pic:blipFill>
                  <pic:spPr>
                    <a:xfrm>
                      <a:off x="0" y="0"/>
                      <a:ext cx="4048125" cy="18764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36.2014～2019年，我国农民工规模增加了约（    ）。</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A.3.2%</w:t>
      </w:r>
      <w:r>
        <w:rPr>
          <w:rFonts w:hint="eastAsia" w:cs="宋体"/>
          <w:b w:val="0"/>
          <w:bCs w:val="0"/>
          <w:sz w:val="21"/>
          <w:szCs w:val="21"/>
          <w:lang w:val="en-US" w:eastAsia="zh-CN"/>
        </w:rPr>
        <w:tab/>
      </w:r>
      <w:r>
        <w:rPr>
          <w:rFonts w:hint="eastAsia" w:cs="宋体"/>
          <w:b w:val="0"/>
          <w:bCs w:val="0"/>
          <w:sz w:val="21"/>
          <w:szCs w:val="21"/>
          <w:lang w:val="en-US" w:eastAsia="zh-CN"/>
        </w:rPr>
        <w:t>B.4.8%</w:t>
      </w:r>
      <w:r>
        <w:rPr>
          <w:rFonts w:hint="eastAsia" w:cs="宋体"/>
          <w:b w:val="0"/>
          <w:bCs w:val="0"/>
          <w:sz w:val="21"/>
          <w:szCs w:val="21"/>
          <w:lang w:val="en-US" w:eastAsia="zh-CN"/>
        </w:rPr>
        <w:tab/>
      </w:r>
      <w:r>
        <w:rPr>
          <w:rFonts w:hint="eastAsia" w:cs="宋体"/>
          <w:b w:val="0"/>
          <w:bCs w:val="0"/>
          <w:sz w:val="21"/>
          <w:szCs w:val="21"/>
          <w:lang w:val="en-US" w:eastAsia="zh-CN"/>
        </w:rPr>
        <w:t>C.6.2%</w:t>
      </w:r>
      <w:r>
        <w:rPr>
          <w:rFonts w:hint="eastAsia" w:cs="宋体"/>
          <w:b w:val="0"/>
          <w:bCs w:val="0"/>
          <w:sz w:val="21"/>
          <w:szCs w:val="21"/>
          <w:lang w:val="en-US" w:eastAsia="zh-CN"/>
        </w:rPr>
        <w:tab/>
      </w:r>
      <w:r>
        <w:rPr>
          <w:rFonts w:hint="eastAsia" w:cs="宋体"/>
          <w:b w:val="0"/>
          <w:bCs w:val="0"/>
          <w:sz w:val="21"/>
          <w:szCs w:val="21"/>
          <w:lang w:val="en-US" w:eastAsia="zh-CN"/>
        </w:rPr>
        <w:t>D.7.8%</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37.2018年，省内就业农民工的数量约占外出农民工的（    ）。</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A.36%</w:t>
      </w:r>
      <w:r>
        <w:rPr>
          <w:rFonts w:hint="eastAsia" w:cs="宋体"/>
          <w:b w:val="0"/>
          <w:bCs w:val="0"/>
          <w:sz w:val="21"/>
          <w:szCs w:val="21"/>
          <w:lang w:val="en-US" w:eastAsia="zh-CN"/>
        </w:rPr>
        <w:tab/>
      </w:r>
      <w:r>
        <w:rPr>
          <w:rFonts w:hint="eastAsia" w:cs="宋体"/>
          <w:b w:val="0"/>
          <w:bCs w:val="0"/>
          <w:sz w:val="21"/>
          <w:szCs w:val="21"/>
          <w:lang w:val="en-US" w:eastAsia="zh-CN"/>
        </w:rPr>
        <w:t>B.46%</w:t>
      </w:r>
      <w:r>
        <w:rPr>
          <w:rFonts w:hint="eastAsia" w:cs="宋体"/>
          <w:b w:val="0"/>
          <w:bCs w:val="0"/>
          <w:sz w:val="21"/>
          <w:szCs w:val="21"/>
          <w:lang w:val="en-US" w:eastAsia="zh-CN"/>
        </w:rPr>
        <w:tab/>
      </w:r>
      <w:r>
        <w:rPr>
          <w:rFonts w:hint="eastAsia" w:cs="宋体"/>
          <w:b w:val="0"/>
          <w:bCs w:val="0"/>
          <w:sz w:val="21"/>
          <w:szCs w:val="21"/>
          <w:lang w:val="en-US" w:eastAsia="zh-CN"/>
        </w:rPr>
        <w:t>C.56%</w:t>
      </w:r>
      <w:r>
        <w:rPr>
          <w:rFonts w:hint="eastAsia" w:cs="宋体"/>
          <w:b w:val="0"/>
          <w:bCs w:val="0"/>
          <w:sz w:val="21"/>
          <w:szCs w:val="21"/>
          <w:lang w:val="en-US" w:eastAsia="zh-CN"/>
        </w:rPr>
        <w:tab/>
      </w:r>
      <w:r>
        <w:rPr>
          <w:rFonts w:hint="eastAsia" w:cs="宋体"/>
          <w:b w:val="0"/>
          <w:bCs w:val="0"/>
          <w:sz w:val="21"/>
          <w:szCs w:val="21"/>
          <w:lang w:val="en-US" w:eastAsia="zh-CN"/>
        </w:rPr>
        <w:t>D.66%</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38.2019年，下列行业中农民工月均收入同比增加最多的是（    ）。</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A.制造业</w:t>
      </w:r>
      <w:r>
        <w:rPr>
          <w:rFonts w:hint="eastAsia" w:cs="宋体"/>
          <w:b w:val="0"/>
          <w:bCs w:val="0"/>
          <w:sz w:val="21"/>
          <w:szCs w:val="21"/>
          <w:lang w:val="en-US" w:eastAsia="zh-CN"/>
        </w:rPr>
        <w:tab/>
      </w:r>
      <w:r>
        <w:rPr>
          <w:rFonts w:hint="eastAsia" w:cs="宋体"/>
          <w:b w:val="0"/>
          <w:bCs w:val="0"/>
          <w:sz w:val="21"/>
          <w:szCs w:val="21"/>
          <w:lang w:val="en-US" w:eastAsia="zh-CN"/>
        </w:rPr>
        <w:t>B.建筑业</w:t>
      </w:r>
      <w:r>
        <w:rPr>
          <w:rFonts w:hint="eastAsia" w:cs="宋体"/>
          <w:b w:val="0"/>
          <w:bCs w:val="0"/>
          <w:sz w:val="21"/>
          <w:szCs w:val="21"/>
          <w:lang w:val="en-US" w:eastAsia="zh-CN"/>
        </w:rPr>
        <w:tab/>
      </w:r>
      <w:r>
        <w:rPr>
          <w:rFonts w:hint="eastAsia" w:cs="宋体"/>
          <w:b w:val="0"/>
          <w:bCs w:val="0"/>
          <w:sz w:val="21"/>
          <w:szCs w:val="21"/>
          <w:lang w:val="en-US" w:eastAsia="zh-CN"/>
        </w:rPr>
        <w:t>C.批发和零售业</w:t>
      </w:r>
      <w:r>
        <w:rPr>
          <w:rFonts w:hint="eastAsia" w:cs="宋体"/>
          <w:b w:val="0"/>
          <w:bCs w:val="0"/>
          <w:sz w:val="21"/>
          <w:szCs w:val="21"/>
          <w:lang w:val="en-US" w:eastAsia="zh-CN"/>
        </w:rPr>
        <w:tab/>
      </w:r>
      <w:r>
        <w:rPr>
          <w:rFonts w:hint="eastAsia" w:cs="宋体"/>
          <w:b w:val="0"/>
          <w:bCs w:val="0"/>
          <w:sz w:val="21"/>
          <w:szCs w:val="21"/>
          <w:lang w:val="en-US" w:eastAsia="zh-CN"/>
        </w:rPr>
        <w:t>D.交通运输仓储邮政业</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39.2018年，我国农民工在各区域的月均收入从高到低是（    ）。</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A.西部地区＞中部地区＞东北地区＞东部地区</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B.中部地区＞东部地区＞东北地区＞西部地区</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C.东部地区＞西部地区＞东北地区＞中部地区</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D.东部地区＞中部地区＞西部地区＞东北地区</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40.根据以上资料，下面说法不正确的是（    ）。</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A.2018年农民工月均收入达4100元</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B.2019年，不同行业的农民工的年收入差距可能在1.2万元以上</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C.2019年，外出农民工月均收入同比增速高于本地农民工</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cs="宋体"/>
          <w:b w:val="0"/>
          <w:bCs w:val="0"/>
          <w:sz w:val="21"/>
          <w:szCs w:val="21"/>
          <w:lang w:val="en-US" w:eastAsia="zh-CN"/>
        </w:rPr>
      </w:pPr>
      <w:r>
        <w:rPr>
          <w:rFonts w:hint="eastAsia" w:cs="宋体"/>
          <w:b w:val="0"/>
          <w:bCs w:val="0"/>
          <w:sz w:val="21"/>
          <w:szCs w:val="21"/>
          <w:lang w:val="en-US" w:eastAsia="zh-CN"/>
        </w:rPr>
        <w:t>D.2015～2019年间，农民工规模同比增速最小的是2018年</w:t>
      </w:r>
    </w:p>
    <w:p>
      <w:pPr>
        <w:pStyle w:val="8"/>
        <w:bidi w:val="0"/>
        <w:rPr>
          <w:rFonts w:hint="eastAsia"/>
          <w:color w:val="auto"/>
        </w:rPr>
      </w:pPr>
      <w:r>
        <w:rPr>
          <w:rFonts w:hint="eastAsia"/>
          <w:color w:val="auto"/>
          <w:lang w:eastAsia="zh-CN"/>
        </w:rPr>
        <w:t>六、</w:t>
      </w:r>
      <w:r>
        <w:rPr>
          <w:rFonts w:hint="eastAsia"/>
          <w:color w:val="auto"/>
        </w:rPr>
        <w:t>常识判断：根据题目要求，选出一个最恰当的答案。</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41.下列关于改革开放历史地位的表述正确的是（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①是决定当代中国命运的关键一招</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②是党和人民大踏步赶上时代的重要法宝</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③是坚持和发展中国特色社会主义的必由之路</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④是决定实现“两个一百年”奋斗目标、实现中华民族伟大复兴的关键一招</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cs="宋体"/>
          <w:color w:val="auto"/>
          <w:lang w:val="en-US" w:eastAsia="zh-CN"/>
        </w:rPr>
      </w:pPr>
      <w:r>
        <w:rPr>
          <w:rFonts w:hint="eastAsia" w:cs="宋体"/>
          <w:color w:val="auto"/>
          <w:lang w:val="en-US" w:eastAsia="zh-CN"/>
        </w:rPr>
        <w:t>A.①②③</w:t>
      </w:r>
      <w:r>
        <w:rPr>
          <w:rFonts w:hint="eastAsia" w:cs="宋体"/>
          <w:color w:val="auto"/>
          <w:lang w:val="en-US" w:eastAsia="zh-CN"/>
        </w:rPr>
        <w:tab/>
      </w:r>
      <w:r>
        <w:rPr>
          <w:rFonts w:hint="eastAsia" w:cs="宋体"/>
          <w:color w:val="auto"/>
          <w:lang w:val="en-US" w:eastAsia="zh-CN"/>
        </w:rPr>
        <w:t>B.①③④</w:t>
      </w:r>
      <w:r>
        <w:rPr>
          <w:rFonts w:hint="eastAsia" w:cs="宋体"/>
          <w:color w:val="auto"/>
          <w:lang w:val="en-US" w:eastAsia="zh-CN"/>
        </w:rPr>
        <w:tab/>
      </w:r>
      <w:r>
        <w:rPr>
          <w:rFonts w:hint="eastAsia" w:cs="宋体"/>
          <w:color w:val="auto"/>
          <w:lang w:val="en-US" w:eastAsia="zh-CN"/>
        </w:rPr>
        <w:t>C.②③④</w:t>
      </w:r>
      <w:r>
        <w:rPr>
          <w:rFonts w:hint="eastAsia" w:cs="宋体"/>
          <w:color w:val="auto"/>
          <w:lang w:val="en-US" w:eastAsia="zh-CN"/>
        </w:rPr>
        <w:tab/>
      </w:r>
      <w:r>
        <w:rPr>
          <w:rFonts w:hint="eastAsia" w:cs="宋体"/>
          <w:color w:val="auto"/>
          <w:lang w:val="en-US" w:eastAsia="zh-CN"/>
        </w:rPr>
        <w:t>D.①②③④</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42.关于国债，下列说法正确的是（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A.国债具有最高信用度，是最安全的投资工具</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B.记账式国债上市后不能通过证券市场进行买卖</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C.国债统一由中国人民银行发行</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D.国债所引起的资金转移属于资金所有权的暂时让渡</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43.下列关于我国宪法宣誓的说法错误的是（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A.宪法宣誓有利于树立宪法权威，全面推进依法治国</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B.宣誓场所应当庄重、严肃，悬挂中华人民共和国国旗或国徽</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C.负责组织宣誓仪式的机关，不能对宣誓的具体事项作出规定</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D.宣誓主体包括各级人民政府、人民法院、人民检察院任命的国家工作人员</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44.近年来，国家相关法律法规对保健食品广告的用语进行了严格规范，虚假用词、夸大用词、绝对化用词被明令禁止。下列保健食品广告用语，符合国家有关规定的是（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A.某保健品胶囊广告：祖传秘方，宫廷秘制，强身健体</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B.某保健口含片广告：增强免疫力，调理肠胃，调节血脂</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C.某保健品袋泡茶广告：坚持冲泡，治疗三高，十天见效</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D.某灵芝保健品广告：无毒副作用，无效退款，全额承保</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45.下列不属于中国共产党在延安时期制定的廉政制度的是（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A.《陕甘宁边区政府惩治贪污暂行条例》</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B.《陕甘宁边区政务人员公约》</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C.《陕甘宁边区保障人权财权条例》</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D.《陕甘宁边区各级政府干部奖惩暂行条例草案》</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46.下列表述按照所代表的年龄从小到大排序正确的是（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A.从心之年—舞勺之年—知非之年—期颐之年—鲐背之年</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B.舞勺之年—知非之年—从心之年—鲐背之年—期颐之年</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C.舞勺之年—从心之年—知非之年—期颐之年—鲐背之年</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D.从心之年—舞勺之年—知非之年—鲐背之年—期颐之年</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47.下列关于纤维的说法，错误的是（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A.制成亚麻面料的纤维是从亚麻的韧皮部取得</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B.聚酯纤维俗称涤纶，其吸湿性和抗皱性较好</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C.棉纤维是热和电的不良导体且具有多孔性，故保暖性较强</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D.蚕丝含蛋白质，可点燃闻有无烧焦羽毛的气味检验真假</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48.党和国家监督体系是党在长期执政条件下实现自我净化、自我完善、自我革新、自我提高的重要制度保障。中国共产党第十九届中央委员会第四次全体会议提出，健全党和国家监督制度，要推动各类监督有机贯通、相互协调，其中起主导作用的监督形式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A.人大监督</w:t>
      </w:r>
      <w:r>
        <w:rPr>
          <w:rFonts w:hint="eastAsia"/>
          <w:lang w:val="en-US" w:eastAsia="zh-CN"/>
        </w:rPr>
        <w:tab/>
      </w:r>
      <w:r>
        <w:rPr>
          <w:rFonts w:hint="eastAsia"/>
          <w:lang w:val="en-US" w:eastAsia="zh-CN"/>
        </w:rPr>
        <w:t>B.司法监督</w:t>
      </w:r>
      <w:r>
        <w:rPr>
          <w:rFonts w:hint="eastAsia"/>
          <w:lang w:val="en-US" w:eastAsia="zh-CN"/>
        </w:rPr>
        <w:tab/>
      </w:r>
      <w:r>
        <w:rPr>
          <w:rFonts w:hint="eastAsia"/>
          <w:lang w:val="en-US" w:eastAsia="zh-CN"/>
        </w:rPr>
        <w:t>C.党内监督</w:t>
      </w:r>
      <w:r>
        <w:rPr>
          <w:rFonts w:hint="eastAsia"/>
          <w:lang w:val="en-US" w:eastAsia="zh-CN"/>
        </w:rPr>
        <w:tab/>
      </w:r>
      <w:r>
        <w:rPr>
          <w:rFonts w:hint="eastAsia"/>
          <w:lang w:val="en-US" w:eastAsia="zh-CN"/>
        </w:rPr>
        <w:t>D.群众监督</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49.关于鼠疫，下列说法错误的是（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A.属于自然疫源性疾病</w:t>
      </w:r>
      <w:r>
        <w:rPr>
          <w:rFonts w:hint="eastAsia"/>
          <w:lang w:val="en-US" w:eastAsia="zh-CN"/>
        </w:rPr>
        <w:tab/>
      </w:r>
      <w:r>
        <w:rPr>
          <w:rFonts w:hint="eastAsia"/>
          <w:lang w:val="en-US" w:eastAsia="zh-CN"/>
        </w:rPr>
        <w:t>B.属于甲类传染病</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C.抗生素可用于鼠疫的治疗</w:t>
      </w:r>
      <w:r>
        <w:rPr>
          <w:rFonts w:hint="eastAsia"/>
          <w:lang w:val="en-US" w:eastAsia="zh-CN"/>
        </w:rPr>
        <w:tab/>
      </w:r>
      <w:r>
        <w:rPr>
          <w:rFonts w:hint="eastAsia"/>
          <w:lang w:val="en-US" w:eastAsia="zh-CN"/>
        </w:rPr>
        <w:t>D.鼠疫不会通过皮肤接触传播</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50.干热岩是埋深数千米的高温岩体，属于一种新兴的地热能源。下列有关说法正确的是（    ）。</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A.我国在青藏高原首次发现大规模可利用的干热岩资源</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B.注入低温水回收高温水的干热岩利用过程发生了能量转化</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C.干热岩发电技术已在世界多个国家的工业生产中普遍应用</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D.干热岩的开发利用过程中容易产生导致酸雨的污染气体</w:t>
      </w:r>
    </w:p>
    <w:p>
      <w:pPr>
        <w:pStyle w:val="7"/>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8"/>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pStyle w:val="8"/>
        <w:bidi w:val="0"/>
        <w:rPr>
          <w:rFonts w:hint="default"/>
          <w:lang w:val="en-US" w:eastAsia="zh-CN"/>
        </w:rPr>
      </w:pPr>
      <w:r>
        <w:rPr>
          <w:rFonts w:hint="eastAsia"/>
          <w:lang w:eastAsia="zh-CN"/>
        </w:rPr>
        <w:t>二、</w:t>
      </w:r>
      <w:r>
        <w:rPr>
          <w:rFonts w:hint="eastAsia"/>
        </w:rPr>
        <w:t>给定</w:t>
      </w:r>
      <w:r>
        <w:rPr>
          <w:rFonts w:hint="eastAsia"/>
          <w:lang w:eastAsia="zh-CN"/>
        </w:rPr>
        <w:t>资料</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资料1</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金融安全是国家经济安全的核心，防范化解金融风险需要坚实的法律基础。《中华人民共和国金融稳定法（草案征求意见稿）》公布并公开征求意见，将为我国金融安全稳定提供基础性法律保障，是我国金融法治建设迈出的关键一步。</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2022年4月，《中华人民共和国金融稳定法（草案征求意见稿）》公布并公开征求意见，这将为我国金融安全稳定提供基础性法律保障。</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金融安全是国家经济安全的核心，防范化解金融风险是金融工作永恒的主题，防范化解金融风险需要坚实的法律基础。然而，此前我国缺少金融稳定的核心法律。伴随金融业分业监管模式，涉及金融稳定的制度体现在中国人民银行法、商业银行法、证券法、保险法等多部法律中，呈现分散化特征，缺乏整体设计和跨行业跨部门的统筹安排。一些重要问题仍然缺乏制度规范，已成为金融安全稳定的影响和制约因素。因此，当前有必要出台金融稳定法，加强金融稳定制度的顶层设计。</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面对错综复杂的国内外经济金融形势，有必要制度先行、未雨绸缪。近年来，我国防范化解重大金融风险攻坚战取得重要阶段性成果，长期积累的风险点得到有效处置，金融风险整体收敛、总体可控，金融稳定基础更加牢靠，金融业总体平稳健康发展。然而，我国金融安全稳定仍然面临多重风险挑战。当前，国际政治经济格局深刻变化，全球经济复苏不稳定不平衡，各类金融风险多发高发。我国金融体系脆弱性仍然存在，金融风险呈现多样化、隐蔽化特征，跨行业、跨市场、跨境的传导风险不容忽视，需要高度重视、稳妥应对，牢牢守住不发生系统性金融风险的底线。</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资料2</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lang w:val="en-US" w:eastAsia="zh-CN"/>
        </w:rPr>
      </w:pPr>
      <w:r>
        <w:rPr>
          <w:rFonts w:hint="eastAsia"/>
          <w:lang w:val="en-US" w:eastAsia="zh-CN"/>
        </w:rPr>
        <w:t>2020年12月末，温州银行业不良率0.79%，达到自2012年温州启动金改以来的最低水平，温州金融生态秩序基本恢复；温州地区民间融资综合利率指数为14.75%，较2011年的阶段性高位25.44%下降了42%；全市法院民间借贷案件收案数和收案金额较2013年底实现大幅下降……</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lang w:val="en-US" w:eastAsia="zh-CN"/>
        </w:rPr>
      </w:pPr>
      <w:r>
        <w:rPr>
          <w:rFonts w:hint="eastAsia"/>
          <w:lang w:val="en-US" w:eastAsia="zh-CN"/>
        </w:rPr>
        <w:t>这些成绩是温州的地方金融监管和风险处置在一项项创新突破中取得的。从出台全国第一部地方金融监管条例，到成立全国第一个地方金融监管局，再成为全国首个地方金融监管执法类别的城市，温州勇于探路，实现了诸多“从无到有”的突破，以往的企业“两链”风险处置已经基本到位，走出了一条系统化全链条防范化解企业金融风险的“温州道路”，打造出区域金融风险防控和处置的“温州样本”。</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lang w:val="en-US" w:eastAsia="zh-CN"/>
        </w:rPr>
      </w:pPr>
      <w:r>
        <w:rPr>
          <w:rFonts w:hint="eastAsia"/>
          <w:lang w:val="en-US" w:eastAsia="zh-CN"/>
        </w:rPr>
        <w:t>以2014年3月1日全国首部民间融资地方性法规——《温州市民间融资管理条例》正式颁布实施为开端，温州的民间融资法治化进程逐步完善。多年来，以《条例》为母法，温州先后印发了《温州市民间融资管理条例实施细则》《温州市民间借贷备案操作指引》等多个配套文件，形成了“1+1+X”法治体系，并在全国率先开出4单行政处罚罚单。这一实践做法，在全国多个省（市、区）产生了溢出效应，为推动各地地方立法提供了典型示范作用。</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lang w:val="en-US" w:eastAsia="zh-CN"/>
        </w:rPr>
      </w:pPr>
      <w:r>
        <w:rPr>
          <w:rFonts w:hint="eastAsia"/>
          <w:lang w:val="en-US" w:eastAsia="zh-CN"/>
        </w:rPr>
        <w:t>2020年8月1日，《浙江省地方金融条例》颁布施行，在吸收温州立法实践经验的基础上，将温州一些金融改革试点做法吸纳融入省条例加以巩固与推广，如“温州的民间借贷备案管理”，进一步强化地方金融监管和区域金融风险防范化解能力，有效促进经济和金融良性循环、健康发展。</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9"/>
        <w:rPr>
          <w:rFonts w:hint="eastAsia"/>
          <w:lang w:val="en-US" w:eastAsia="zh-CN"/>
        </w:rPr>
      </w:pPr>
      <w:r>
        <w:rPr>
          <w:rFonts w:hint="eastAsia"/>
          <w:lang w:val="en-US" w:eastAsia="zh-CN"/>
        </w:rPr>
        <w:t>同年底，国务院发布《防范和处置非法集资条例》，吸纳温州条例中行政执法与刑事司法衔接以及地方金融监管协调理念，进一步明确了防范和处置非法集资工作机制，以及地方各级人民政府、行业主管、监管部门和市场主体等各方面的职责和义务。</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资料3</w:t>
      </w:r>
    </w:p>
    <w:p>
      <w:pPr>
        <w:bidi w:val="0"/>
        <w:rPr>
          <w:rFonts w:hint="eastAsia"/>
          <w:lang w:val="en-US" w:eastAsia="zh-CN"/>
        </w:rPr>
      </w:pPr>
      <w:r>
        <w:rPr>
          <w:rFonts w:hint="eastAsia"/>
          <w:lang w:val="en-US" w:eastAsia="zh-CN"/>
        </w:rPr>
        <w:t>在温州乡间的文化礼堂，老百姓们喜欢有空就来礼堂坐坐，听听来自温州各家金融机构及相关部门带来的金融风险教育课堂。温州注重风险防范源头管控，围绕金融风险防范这一主线，率全省之先开展“金融进文化礼堂”活动，以“贴近群众、贴近实际、贴近生活”为原则搭建金融法治宣传主阵地。</w:t>
      </w:r>
    </w:p>
    <w:p>
      <w:pPr>
        <w:bidi w:val="0"/>
        <w:rPr>
          <w:rFonts w:hint="eastAsia"/>
          <w:lang w:val="en-US" w:eastAsia="zh-CN"/>
        </w:rPr>
      </w:pPr>
      <w:r>
        <w:rPr>
          <w:rFonts w:hint="eastAsia"/>
          <w:lang w:val="en-US" w:eastAsia="zh-CN"/>
        </w:rPr>
        <w:t>通过“线上点单、线下服务”方式，温州先后在全市打造66个“金融进文化礼堂”风险防范宣教示范点和182个金融进文化礼堂“一镇一品”宣教点，基本实现金融风险宣教“点”市域全覆盖，走出了一条金融风险防范教育的新路子。活动开展3年多来，累计开展金融机构进文化礼堂宣教活动近1000场，在一定程度上拓宽了基层法治宣传渠道，在源头上降低金融风险发生概率。</w:t>
      </w:r>
    </w:p>
    <w:p>
      <w:pPr>
        <w:bidi w:val="0"/>
        <w:rPr>
          <w:rFonts w:hint="eastAsia"/>
          <w:lang w:val="en-US" w:eastAsia="zh-CN"/>
        </w:rPr>
      </w:pPr>
      <w:r>
        <w:rPr>
          <w:rFonts w:hint="eastAsia"/>
          <w:lang w:val="en-US" w:eastAsia="zh-CN"/>
        </w:rPr>
        <w:t>2020年，温州市金融办还探索打造金融风险防范定点“云宣传”模式，在全市1200台党报电子屏（日均观看达42万人次）上累计发布23类新型金融诈骗案例、10期主题海报及15条抗疫金融服务政策，强化持续动态化宣传；在微信公众号上开设“风险防范”专栏，累计发布13期非法集资等金融风险相关知识，互动人数近2000人。同时，依托非法集资宣传月等活动，发放传单、手册等宣传材料近45万份，发送宣传短信近185万条。</w:t>
      </w:r>
    </w:p>
    <w:p>
      <w:pPr>
        <w:bidi w:val="0"/>
        <w:outlineLvl w:val="3"/>
        <w:rPr>
          <w:rFonts w:hint="eastAsia"/>
          <w:b/>
          <w:bCs/>
          <w:lang w:val="en-US" w:eastAsia="zh-CN"/>
        </w:rPr>
      </w:pPr>
      <w:r>
        <w:rPr>
          <w:rFonts w:hint="eastAsia"/>
          <w:b/>
          <w:bCs/>
          <w:lang w:val="en-US" w:eastAsia="zh-CN"/>
        </w:rPr>
        <w:t>资料4</w:t>
      </w:r>
    </w:p>
    <w:p>
      <w:pPr>
        <w:bidi w:val="0"/>
        <w:rPr>
          <w:rFonts w:hint="eastAsia"/>
          <w:b w:val="0"/>
          <w:bCs w:val="0"/>
          <w:i w:val="0"/>
          <w:iCs w:val="0"/>
          <w:lang w:val="en-US" w:eastAsia="zh-CN"/>
        </w:rPr>
      </w:pPr>
      <w:r>
        <w:rPr>
          <w:rFonts w:hint="eastAsia"/>
          <w:b w:val="0"/>
          <w:bCs w:val="0"/>
          <w:i w:val="0"/>
          <w:iCs w:val="0"/>
          <w:lang w:val="en-US" w:eastAsia="zh-CN"/>
        </w:rPr>
        <w:t>鹿城区探索建立持牌类金融机构与毗邻网格结对工作机制，洞头区将金融风险防控与海霞文化相结合，乐清瑞安等地构建辖区金融网格布局图……在温州，防范金融风险的网格化管理，成为了一大亮点。</w:t>
      </w:r>
    </w:p>
    <w:p>
      <w:pPr>
        <w:bidi w:val="0"/>
        <w:rPr>
          <w:rFonts w:hint="eastAsia"/>
          <w:b w:val="0"/>
          <w:bCs w:val="0"/>
          <w:i w:val="0"/>
          <w:iCs w:val="0"/>
          <w:lang w:val="en-US" w:eastAsia="zh-CN"/>
        </w:rPr>
      </w:pPr>
      <w:r>
        <w:rPr>
          <w:rFonts w:hint="eastAsia"/>
          <w:b w:val="0"/>
          <w:bCs w:val="0"/>
          <w:i w:val="0"/>
          <w:iCs w:val="0"/>
          <w:lang w:val="en-US" w:eastAsia="zh-CN"/>
        </w:rPr>
        <w:t>2016年，温州就在全省率先实行“市—县—镇（街）—村（社区）”的四级金融风险管控机制，发挥网格阵地作用，有效掌握、上报网格内各类市场主体理财宣传、金融维稳等信息，并且充分利用“天罗地网”系统数据资源，建立线上管控，线下核实，上下联动的金融风险监管模式，让网格员为辖区群众开展防范金融诈骗、非法集资等知识宣讲，成为群众的防范金融风险的贴身管家。</w:t>
      </w:r>
    </w:p>
    <w:p>
      <w:pPr>
        <w:bidi w:val="0"/>
        <w:rPr>
          <w:rFonts w:hint="eastAsia"/>
          <w:b w:val="0"/>
          <w:bCs w:val="0"/>
          <w:i w:val="0"/>
          <w:iCs w:val="0"/>
          <w:lang w:val="en-US" w:eastAsia="zh-CN"/>
        </w:rPr>
      </w:pPr>
      <w:r>
        <w:rPr>
          <w:rFonts w:hint="eastAsia"/>
          <w:b w:val="0"/>
          <w:bCs w:val="0"/>
          <w:i w:val="0"/>
          <w:iCs w:val="0"/>
          <w:lang w:val="en-US" w:eastAsia="zh-CN"/>
        </w:rPr>
        <w:t>截至2020年末，全市12个县（市、区）均已建立网格化管理机制，涉及网格7347个，网格人员一万余人。累计开展各类金融风险防控专题培训91次，排摸各类涉金融主体逾29190家次，处理网格风险事项766件。</w:t>
      </w:r>
    </w:p>
    <w:p>
      <w:pPr>
        <w:bidi w:val="0"/>
        <w:rPr>
          <w:rFonts w:hint="eastAsia"/>
          <w:b w:val="0"/>
          <w:bCs w:val="0"/>
          <w:i w:val="0"/>
          <w:iCs w:val="0"/>
          <w:lang w:val="en-US" w:eastAsia="zh-CN"/>
        </w:rPr>
      </w:pPr>
      <w:r>
        <w:rPr>
          <w:rFonts w:hint="eastAsia"/>
          <w:b w:val="0"/>
          <w:bCs w:val="0"/>
          <w:i w:val="0"/>
          <w:iCs w:val="0"/>
          <w:lang w:val="en-US" w:eastAsia="zh-CN"/>
        </w:rPr>
        <w:t>应用大数据等技术手段，推进地方金融监管转型，是温州一直探索并走在全省前列的一项重要工作。转型以来，温州一方面积极“接网”，高度重视省“天罗地网”平台预警信息的处置工作，做好处置跟踪及督办，推动形成“监管闭环”；另一方面积极“建脑”，在总结开发温州市民间金融组织非现场监管系统的经验上，创新上线温州市“金融大脑”平台，开辟大数据在金融风险监管领域的新路径。</w:t>
      </w:r>
    </w:p>
    <w:p>
      <w:pPr>
        <w:bidi w:val="0"/>
        <w:rPr>
          <w:rFonts w:hint="eastAsia"/>
          <w:b w:val="0"/>
          <w:bCs w:val="0"/>
          <w:i w:val="0"/>
          <w:iCs w:val="0"/>
          <w:lang w:val="en-US" w:eastAsia="zh-CN"/>
        </w:rPr>
      </w:pPr>
      <w:r>
        <w:rPr>
          <w:rFonts w:hint="eastAsia"/>
          <w:b w:val="0"/>
          <w:bCs w:val="0"/>
          <w:i w:val="0"/>
          <w:iCs w:val="0"/>
          <w:lang w:val="en-US" w:eastAsia="zh-CN"/>
        </w:rPr>
        <w:t>运行以来，“金融大脑”平台围绕“产品”“舆情”“关系网络”“资金交易”等维度进行指标建模，对数据实时分析与评测，构建企业涉众型风险画像。截至2020年底，共对400余条企业涉非线索采取措施，在源头防控上发挥了积极的作用，2020年全市新立非法集资案件总数、涉案金额、涉案人数同比分别下降9%、45%和89%，大幅下降的数据是对温州通过大数据防范金融风险效果最好的回答。</w:t>
      </w:r>
    </w:p>
    <w:p>
      <w:pPr>
        <w:bidi w:val="0"/>
        <w:outlineLvl w:val="3"/>
        <w:rPr>
          <w:rFonts w:hint="eastAsia"/>
          <w:b/>
          <w:bCs/>
          <w:lang w:val="en-US" w:eastAsia="zh-CN"/>
        </w:rPr>
      </w:pPr>
      <w:r>
        <w:rPr>
          <w:rFonts w:hint="eastAsia" w:ascii="宋体" w:eastAsia="宋体"/>
          <w:b/>
          <w:bCs/>
          <w:lang w:val="en-US" w:eastAsia="zh-CN"/>
        </w:rPr>
        <w:t>资料</w:t>
      </w:r>
      <w:r>
        <w:rPr>
          <w:rFonts w:hint="eastAsia"/>
          <w:b/>
          <w:bCs/>
          <w:lang w:val="en-US" w:eastAsia="zh-CN"/>
        </w:rPr>
        <w:t>5</w:t>
      </w:r>
    </w:p>
    <w:p>
      <w:pPr>
        <w:bidi w:val="0"/>
        <w:rPr>
          <w:rFonts w:hint="eastAsia"/>
          <w:b w:val="0"/>
          <w:bCs w:val="0"/>
          <w:i w:val="0"/>
          <w:iCs w:val="0"/>
          <w:lang w:val="en-US" w:eastAsia="zh-CN"/>
        </w:rPr>
      </w:pPr>
      <w:r>
        <w:rPr>
          <w:rFonts w:hint="eastAsia"/>
          <w:b w:val="0"/>
          <w:bCs w:val="0"/>
          <w:i w:val="0"/>
          <w:iCs w:val="0"/>
          <w:lang w:val="en-US" w:eastAsia="zh-CN"/>
        </w:rPr>
        <w:t>2021年10月20日上午，省委书记、省人大常委会主任袁家军在舟山调研信访工作、接待群众来访。他强调，要认真学习贯彻习近平总书记关于加强和改进人民信访工作的重要论述精神，坚持和发扬习近平总书记在浙江工作时留下的好传统好做法，以构建良好信访生态为根本，以信访领域数字化改革为动力，着力减总量、防上行、强预警、严追责，确保社会大局和谐稳定，为打造“重要窗口”、推进共同富裕营造良好社会环境。</w:t>
      </w:r>
    </w:p>
    <w:p>
      <w:pPr>
        <w:bidi w:val="0"/>
        <w:rPr>
          <w:rFonts w:hint="eastAsia"/>
          <w:b w:val="0"/>
          <w:bCs w:val="0"/>
          <w:i w:val="0"/>
          <w:iCs w:val="0"/>
          <w:lang w:val="en-US" w:eastAsia="zh-CN"/>
        </w:rPr>
      </w:pPr>
      <w:r>
        <w:rPr>
          <w:rFonts w:hint="eastAsia"/>
          <w:b w:val="0"/>
          <w:bCs w:val="0"/>
          <w:i w:val="0"/>
          <w:iCs w:val="0"/>
          <w:lang w:val="en-US" w:eastAsia="zh-CN"/>
        </w:rPr>
        <w:t>袁家军来到舟山市普陀区社会矛盾纠纷调处化解中心，面对面接待约访群众。两批来访群众分别反映了住所及其附近道路积水内涝和生活用水紧张问题。袁家军认真倾听他们的诉求和意见，并与省直有关部门、舟山市、普陀区和有关企业负责人现场商量解决方法，逐一给予明确回复。他还要求省、市、县三级有关部门落实责任，跟踪督查，在理清事实基础上，依法依规把来访群众的信访事项办好办实，并举一反三解决全省面上共性问题，努力做到件件有着落、事事有回音，以实实在在的成效取信于民。</w:t>
      </w:r>
    </w:p>
    <w:p>
      <w:pPr>
        <w:bidi w:val="0"/>
        <w:rPr>
          <w:rFonts w:hint="eastAsia"/>
          <w:b w:val="0"/>
          <w:bCs w:val="0"/>
          <w:i w:val="0"/>
          <w:iCs w:val="0"/>
          <w:lang w:val="en-US" w:eastAsia="zh-CN"/>
        </w:rPr>
      </w:pPr>
      <w:r>
        <w:rPr>
          <w:rFonts w:hint="eastAsia"/>
          <w:b w:val="0"/>
          <w:bCs w:val="0"/>
          <w:i w:val="0"/>
          <w:iCs w:val="0"/>
          <w:lang w:val="en-US" w:eastAsia="zh-CN"/>
        </w:rPr>
        <w:t>袁家军强调，信访是送上门的群众工作，要着眼未来发展，紧密结合当前中央和省委重大决策部署，在解决群众最现实最紧迫问题中，找到推进共同富裕的信访工作抓手。要进一步完善重大信访问题清单管理机制，从行业领域和市县两个层面入手，聚焦群众反映强烈的共性问题、典型问题，精准梳理重大信访问题清单，落实工作责任，加强协同办理、跟踪反馈，形成闭环管理，推进信访整体工作提升。要树立法治是最好信访生态的工作导向，进一步规范信访工作行为和信访人行为，推动信访工作规范运行、群众诉求依法理性表达、合法权益依法有效保护，持续构建良好信访生态。</w:t>
      </w:r>
    </w:p>
    <w:p>
      <w:pPr>
        <w:bidi w:val="0"/>
        <w:outlineLvl w:val="3"/>
        <w:rPr>
          <w:rFonts w:hint="eastAsia"/>
          <w:b/>
          <w:bCs/>
          <w:lang w:val="en-US" w:eastAsia="zh-CN"/>
        </w:rPr>
      </w:pPr>
      <w:r>
        <w:rPr>
          <w:rFonts w:hint="eastAsia" w:ascii="宋体" w:eastAsia="宋体"/>
          <w:b/>
          <w:bCs/>
          <w:lang w:val="en-US" w:eastAsia="zh-CN"/>
        </w:rPr>
        <w:t>资料</w:t>
      </w:r>
      <w:r>
        <w:rPr>
          <w:rFonts w:hint="eastAsia"/>
          <w:b/>
          <w:bCs/>
          <w:lang w:val="en-US" w:eastAsia="zh-CN"/>
        </w:rPr>
        <w:t>6</w:t>
      </w:r>
    </w:p>
    <w:p>
      <w:pPr>
        <w:bidi w:val="0"/>
        <w:rPr>
          <w:rFonts w:hint="eastAsia"/>
          <w:b w:val="0"/>
          <w:bCs w:val="0"/>
          <w:i w:val="0"/>
          <w:iCs w:val="0"/>
          <w:lang w:val="en-US" w:eastAsia="zh-CN"/>
        </w:rPr>
      </w:pPr>
      <w:r>
        <w:rPr>
          <w:rFonts w:hint="eastAsia"/>
          <w:b w:val="0"/>
          <w:bCs w:val="0"/>
          <w:i w:val="0"/>
          <w:iCs w:val="0"/>
          <w:lang w:val="en-US" w:eastAsia="zh-CN"/>
        </w:rPr>
        <w:t>“县乡一体、条抓块统”改革促进了基层治理的现代化，衢州社会大局和谐稳定，营商环境不断优化，群众幸福感明显提升。</w:t>
      </w:r>
    </w:p>
    <w:p>
      <w:pPr>
        <w:bidi w:val="0"/>
        <w:rPr>
          <w:rFonts w:hint="eastAsia"/>
          <w:b w:val="0"/>
          <w:bCs w:val="0"/>
          <w:i w:val="0"/>
          <w:iCs w:val="0"/>
          <w:lang w:val="en-US" w:eastAsia="zh-CN"/>
        </w:rPr>
      </w:pPr>
      <w:r>
        <w:rPr>
          <w:rFonts w:hint="eastAsia"/>
          <w:b w:val="0"/>
          <w:bCs w:val="0"/>
          <w:i w:val="0"/>
          <w:iCs w:val="0"/>
          <w:lang w:val="en-US" w:eastAsia="zh-CN"/>
        </w:rPr>
        <w:t>聚焦群众“身边事”、乡镇“头痛事”、部门“扯皮事”，衢州市从高频事项、高权重事项、群众企业需求事项出发，将基层治理过程中跨部门、跨领域、跨层级县乡联办事项集成为“一件事”，筛选形成了17项“一件事”先行先试，尝试通过“小切口”破题治理“大难题”。</w:t>
      </w:r>
    </w:p>
    <w:p>
      <w:pPr>
        <w:bidi w:val="0"/>
        <w:rPr>
          <w:rFonts w:hint="eastAsia"/>
          <w:b w:val="0"/>
          <w:bCs w:val="0"/>
          <w:i w:val="0"/>
          <w:iCs w:val="0"/>
          <w:lang w:val="en-US" w:eastAsia="zh-CN"/>
        </w:rPr>
      </w:pPr>
      <w:r>
        <w:rPr>
          <w:rFonts w:hint="eastAsia"/>
          <w:b w:val="0"/>
          <w:bCs w:val="0"/>
          <w:i w:val="0"/>
          <w:iCs w:val="0"/>
          <w:lang w:val="en-US" w:eastAsia="zh-CN"/>
        </w:rPr>
        <w:t>在“一件事”改革试点中，以数字化改革为牵引，打通不同部门和系统的数据，成为协同高效的重要手段。</w:t>
      </w:r>
    </w:p>
    <w:p>
      <w:pPr>
        <w:bidi w:val="0"/>
        <w:rPr>
          <w:rFonts w:hint="eastAsia"/>
          <w:b w:val="0"/>
          <w:bCs w:val="0"/>
          <w:i w:val="0"/>
          <w:iCs w:val="0"/>
          <w:lang w:val="en-US" w:eastAsia="zh-CN"/>
        </w:rPr>
      </w:pPr>
      <w:r>
        <w:rPr>
          <w:rFonts w:hint="eastAsia"/>
          <w:b w:val="0"/>
          <w:bCs w:val="0"/>
          <w:i w:val="0"/>
          <w:iCs w:val="0"/>
          <w:lang w:val="en-US" w:eastAsia="zh-CN"/>
        </w:rPr>
        <w:t>在涉及协同部门较多的欠薪处置“一件事”上，数据流动带来的便利最为明显。这一由衢江区人社部门牵头，住建、法院、公安、司法等近30个主管部门和属地单位为协同部门的联动工作推进体系，变单部门处置为多部门多层级治理，线上通过欠薪处置“一件事”应用一键发起部门协同，信息实时共享贯穿案件调查、证据核实、督促整改等工作环节，大大节约办案成本，缩短办案时效；而线下建立处置会商机制，则由牵头部门负责召集协同部门、属地乡镇（街道）共同会商研判、司法部门及时介入，加快执法执行。</w:t>
      </w:r>
    </w:p>
    <w:p>
      <w:pPr>
        <w:bidi w:val="0"/>
        <w:rPr>
          <w:rFonts w:hint="eastAsia"/>
          <w:b w:val="0"/>
          <w:bCs w:val="0"/>
          <w:i w:val="0"/>
          <w:iCs w:val="0"/>
          <w:lang w:val="en-US" w:eastAsia="zh-CN"/>
        </w:rPr>
      </w:pPr>
      <w:r>
        <w:rPr>
          <w:rFonts w:hint="eastAsia"/>
          <w:b w:val="0"/>
          <w:bCs w:val="0"/>
          <w:i w:val="0"/>
          <w:iCs w:val="0"/>
          <w:lang w:val="en-US" w:eastAsia="zh-CN"/>
        </w:rPr>
        <w:t>“事前多向预警、事中协同处置、事后法制规范”的欠薪治理数字化工作模式正在不断成熟。“更有价值的是我们的预警体系”，衢江区劳动执法队工作人员小刘如此总结道。她举例说，欠薪处置“一件事”应用通过流程再造，突出事前的信息研判，通过打通不同部门和系统之间的数据，改变了单一案件的信息来源。如今，企业的水电费、工资清单、纳税记录等日常监测数据都纳入了应用中，一旦出现数据异动，系统会马上发出预警，人社部门可以提前介入，提供保障，有效推动事后被动处置向事前主动预警防范延伸。</w:t>
      </w:r>
    </w:p>
    <w:p>
      <w:pPr>
        <w:bidi w:val="0"/>
        <w:outlineLvl w:val="3"/>
        <w:rPr>
          <w:rFonts w:hint="eastAsia"/>
          <w:b/>
          <w:bCs/>
          <w:lang w:val="en-US" w:eastAsia="zh-CN"/>
        </w:rPr>
      </w:pPr>
      <w:r>
        <w:rPr>
          <w:rFonts w:hint="eastAsia" w:ascii="宋体" w:eastAsia="宋体"/>
          <w:b/>
          <w:bCs/>
          <w:lang w:val="en-US" w:eastAsia="zh-CN"/>
        </w:rPr>
        <w:t>资料</w:t>
      </w:r>
      <w:r>
        <w:rPr>
          <w:rFonts w:hint="eastAsia"/>
          <w:b/>
          <w:bCs/>
          <w:lang w:val="en-US" w:eastAsia="zh-CN"/>
        </w:rPr>
        <w:t>7</w:t>
      </w:r>
    </w:p>
    <w:p>
      <w:pPr>
        <w:bidi w:val="0"/>
        <w:outlineLvl w:val="9"/>
        <w:rPr>
          <w:rFonts w:hint="eastAsia"/>
          <w:b w:val="0"/>
          <w:bCs w:val="0"/>
          <w:lang w:val="en-US" w:eastAsia="zh-CN"/>
        </w:rPr>
      </w:pPr>
      <w:r>
        <w:rPr>
          <w:rFonts w:hint="eastAsia"/>
          <w:b w:val="0"/>
          <w:bCs w:val="0"/>
          <w:lang w:val="en-US" w:eastAsia="zh-CN"/>
        </w:rPr>
        <w:t>习近平总书记主持召开中央财经委员会第十次会议时强调，“共同富裕是社会主义的本质要求，是中国式现代化的重要特征，要坚持以人民为中心的发展思想，在高质量发展中促进共同富裕”。共同富裕是一个动态的长期发展过程，需要一系列政策和一揽子举措来促进形成和加以实现。在这个过程中，要协同和统筹好政府功能和市场机制，实现市场有效、政府有为，推进高质量发展，为共同富裕创造良好条件、奠定坚实基础。</w:t>
      </w:r>
    </w:p>
    <w:p>
      <w:pPr>
        <w:bidi w:val="0"/>
        <w:rPr>
          <w:rFonts w:hint="eastAsia"/>
          <w:b w:val="0"/>
          <w:bCs w:val="0"/>
          <w:i w:val="0"/>
          <w:iCs w:val="0"/>
          <w:u w:val="none"/>
          <w:lang w:val="en-US" w:eastAsia="zh-CN"/>
        </w:rPr>
      </w:pPr>
      <w:r>
        <w:rPr>
          <w:rFonts w:hint="eastAsia"/>
          <w:b w:val="0"/>
          <w:bCs w:val="0"/>
          <w:i w:val="0"/>
          <w:iCs w:val="0"/>
          <w:lang w:val="en-US" w:eastAsia="zh-CN"/>
        </w:rPr>
        <w:t>2022年浙江省政府工作报告指出，浙江省经济社会发展中还存在不少困难和问题。其中，一些政府工作人员办事质量和效率不高、服务意识不强，工作不实、不细等形式主义、官僚主义现象仍不同程度存在。我们一定要直面困难和问题，敢于担当、善于作为，采取更有针对性的措施，持之以恒加以解决。</w:t>
      </w:r>
      <w:r>
        <w:rPr>
          <w:rFonts w:hint="eastAsia"/>
          <w:b w:val="0"/>
          <w:bCs w:val="0"/>
          <w:i w:val="0"/>
          <w:iCs w:val="0"/>
          <w:u w:val="single"/>
          <w:lang w:val="en-US" w:eastAsia="zh-CN"/>
        </w:rPr>
        <w:t>大者不能，小者不为，是弃国捐身之道也。</w:t>
      </w:r>
      <w:r>
        <w:rPr>
          <w:rFonts w:hint="eastAsia"/>
          <w:b w:val="0"/>
          <w:bCs w:val="0"/>
          <w:i w:val="0"/>
          <w:iCs w:val="0"/>
          <w:u w:val="none"/>
          <w:lang w:val="en-US" w:eastAsia="zh-CN"/>
        </w:rPr>
        <w:t>为官者积极作为，为民服务，才是为官之道。</w:t>
      </w:r>
    </w:p>
    <w:p>
      <w:pPr>
        <w:pStyle w:val="8"/>
        <w:bidi w:val="0"/>
        <w:rPr>
          <w:rFonts w:hint="eastAsia"/>
          <w:lang w:val="en-US" w:eastAsia="zh-CN"/>
        </w:rPr>
      </w:pPr>
      <w:r>
        <w:rPr>
          <w:rFonts w:hint="eastAsia"/>
          <w:lang w:val="en-US" w:eastAsia="zh-CN"/>
        </w:rPr>
        <w:t>三、作答要求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（一）假定你是某晚报的记者，结合给定资料2～4，以“金融监管和风险防控的温州路径”为题，写一篇短评。（30分）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要求：（1）角色定位准确，内容切合主题；</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lang w:val="en-US" w:eastAsia="zh-CN"/>
        </w:rPr>
      </w:pPr>
      <w:r>
        <w:rPr>
          <w:rFonts w:hint="eastAsia"/>
          <w:lang w:val="en-US" w:eastAsia="zh-CN"/>
        </w:rPr>
        <w:t>（2）</w:t>
      </w:r>
      <w:r>
        <w:rPr>
          <w:rFonts w:hint="eastAsia" w:ascii="宋体" w:eastAsia="宋体"/>
          <w:lang w:val="en-US" w:eastAsia="zh-CN"/>
        </w:rPr>
        <w:t>语言流畅、</w:t>
      </w:r>
      <w:r>
        <w:rPr>
          <w:rFonts w:hint="eastAsia"/>
          <w:lang w:val="en-US" w:eastAsia="zh-CN"/>
        </w:rPr>
        <w:t>层次分明</w:t>
      </w:r>
      <w:r>
        <w:rPr>
          <w:rFonts w:hint="eastAsia" w:ascii="宋体" w:eastAsia="宋体"/>
          <w:lang w:val="en-US" w:eastAsia="zh-CN"/>
        </w:rPr>
        <w:t>；</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color w:val="FF0000"/>
          <w:lang w:val="en-US" w:eastAsia="zh-CN"/>
        </w:rPr>
      </w:pPr>
      <w:r>
        <w:rPr>
          <w:rFonts w:hint="eastAsia"/>
          <w:lang w:val="en-US" w:eastAsia="zh-CN"/>
        </w:rPr>
        <w:t>（3）</w:t>
      </w:r>
      <w:r>
        <w:rPr>
          <w:rFonts w:hint="eastAsia" w:ascii="宋体" w:eastAsia="宋体"/>
          <w:lang w:val="en-US" w:eastAsia="zh-CN"/>
        </w:rPr>
        <w:t>字数600字</w:t>
      </w:r>
      <w:r>
        <w:rPr>
          <w:rFonts w:hint="eastAsia"/>
          <w:lang w:val="en-US" w:eastAsia="zh-CN"/>
        </w:rPr>
        <w:t>左右</w:t>
      </w:r>
      <w:r>
        <w:rPr>
          <w:rFonts w:hint="eastAsia" w:ascii="宋体" w:eastAsia="宋体"/>
          <w:lang w:val="en-US" w:eastAsia="zh-CN"/>
        </w:rPr>
        <w:t>。</w:t>
      </w:r>
    </w:p>
    <w:p>
      <w:pPr>
        <w:bidi w:val="0"/>
        <w:rPr>
          <w:rFonts w:hint="eastAsia"/>
          <w:lang w:val="en-US" w:eastAsia="zh-CN"/>
        </w:rPr>
      </w:pPr>
    </w:p>
    <w:p>
      <w:pPr>
        <w:bidi w:val="0"/>
        <w:rPr>
          <w:rFonts w:hint="eastAsia"/>
          <w:b w:val="0"/>
          <w:bCs w:val="0"/>
          <w:lang w:val="en-US" w:eastAsia="zh-CN"/>
        </w:rPr>
      </w:pPr>
      <w:r>
        <w:rPr>
          <w:rFonts w:hint="eastAsia"/>
          <w:b w:val="0"/>
          <w:bCs w:val="0"/>
          <w:lang w:val="en-US" w:eastAsia="zh-CN"/>
        </w:rPr>
        <w:t>（二）</w:t>
      </w:r>
      <w:r>
        <w:rPr>
          <w:rFonts w:hint="eastAsia" w:ascii="宋体" w:eastAsia="宋体"/>
          <w:b w:val="0"/>
          <w:bCs w:val="0"/>
          <w:lang w:val="en-US" w:eastAsia="zh-CN"/>
        </w:rPr>
        <w:t>结合给定资料</w:t>
      </w:r>
      <w:r>
        <w:rPr>
          <w:rFonts w:hint="eastAsia"/>
          <w:b w:val="0"/>
          <w:bCs w:val="0"/>
          <w:lang w:val="en-US" w:eastAsia="zh-CN"/>
        </w:rPr>
        <w:t>5～7</w:t>
      </w:r>
      <w:r>
        <w:rPr>
          <w:rFonts w:hint="eastAsia" w:ascii="宋体" w:eastAsia="宋体"/>
          <w:b w:val="0"/>
          <w:bCs w:val="0"/>
          <w:lang w:val="en-US" w:eastAsia="zh-CN"/>
        </w:rPr>
        <w:t>，</w:t>
      </w:r>
      <w:r>
        <w:rPr>
          <w:rFonts w:hint="eastAsia"/>
          <w:b w:val="0"/>
          <w:bCs w:val="0"/>
          <w:lang w:val="en-US" w:eastAsia="zh-CN"/>
        </w:rPr>
        <w:t>理解划线句“大者不能，小者不为，是弃国捐身之道也”</w:t>
      </w:r>
      <w:r>
        <w:rPr>
          <w:rFonts w:hint="eastAsia" w:ascii="宋体" w:eastAsia="宋体"/>
          <w:b w:val="0"/>
          <w:bCs w:val="0"/>
          <w:lang w:val="en-US" w:eastAsia="zh-CN"/>
        </w:rPr>
        <w:t>，自拟题目，写一篇议论性文章。（60分）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要求：（1）紧扣资料的主旨；</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lang w:val="en-US" w:eastAsia="zh-CN"/>
        </w:rPr>
      </w:pPr>
      <w:r>
        <w:rPr>
          <w:rFonts w:hint="eastAsia"/>
          <w:lang w:val="en-US" w:eastAsia="zh-CN"/>
        </w:rPr>
        <w:t>（2）</w:t>
      </w:r>
      <w:r>
        <w:rPr>
          <w:rFonts w:hint="eastAsia" w:ascii="宋体" w:eastAsia="宋体"/>
          <w:lang w:val="en-US" w:eastAsia="zh-CN"/>
        </w:rPr>
        <w:t>结构完整，内容充实；</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lang w:val="en-US" w:eastAsia="zh-CN"/>
        </w:rPr>
      </w:pPr>
      <w:r>
        <w:rPr>
          <w:rFonts w:hint="eastAsia"/>
          <w:lang w:val="en-US" w:eastAsia="zh-CN"/>
        </w:rPr>
        <w:t>（3）</w:t>
      </w:r>
      <w:r>
        <w:rPr>
          <w:rFonts w:hint="eastAsia" w:ascii="宋体" w:eastAsia="宋体"/>
          <w:lang w:val="en-US" w:eastAsia="zh-CN"/>
        </w:rPr>
        <w:t>论述深刻，语言流畅；</w:t>
      </w:r>
    </w:p>
    <w:p>
      <w:pPr>
        <w:keepNext w:val="0"/>
        <w:keepLines w:val="0"/>
        <w:pageBreakBefore w:val="0"/>
        <w:widowControl w:val="0"/>
        <w:kinsoku/>
        <w:wordWrap/>
        <w:overflowPunct/>
        <w:topLinePunct w:val="0"/>
        <w:autoSpaceDE/>
        <w:autoSpaceDN/>
        <w:bidi w:val="0"/>
        <w:adjustRightInd/>
        <w:snapToGrid/>
        <w:ind w:left="1050" w:leftChars="500" w:right="0" w:rightChars="0" w:firstLine="0" w:firstLineChars="0"/>
        <w:textAlignment w:val="auto"/>
        <w:rPr>
          <w:rFonts w:hint="eastAsia" w:ascii="宋体" w:eastAsia="宋体"/>
          <w:lang w:val="en-US" w:eastAsia="zh-CN"/>
        </w:rPr>
      </w:pPr>
      <w:r>
        <w:rPr>
          <w:rFonts w:hint="eastAsia"/>
          <w:lang w:val="en-US" w:eastAsia="zh-CN"/>
        </w:rPr>
        <w:t>（4）</w:t>
      </w:r>
      <w:r>
        <w:rPr>
          <w:rFonts w:hint="eastAsia" w:ascii="宋体" w:eastAsia="宋体"/>
          <w:lang w:val="en-US" w:eastAsia="zh-CN"/>
        </w:rPr>
        <w:t>字数1000～1200字。</w:t>
      </w:r>
    </w:p>
    <w:p>
      <w:pPr>
        <w:ind w:left="0" w:leftChars="0" w:firstLine="0" w:firstLineChars="0"/>
        <w:rPr>
          <w:rFonts w:hint="default"/>
          <w:lang w:val="en-US" w:eastAsia="zh-CN"/>
        </w:rPr>
      </w:pP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1747A45"/>
    <w:rsid w:val="01F76CF9"/>
    <w:rsid w:val="04DF199E"/>
    <w:rsid w:val="05F13F16"/>
    <w:rsid w:val="06811325"/>
    <w:rsid w:val="06975D03"/>
    <w:rsid w:val="07066DA3"/>
    <w:rsid w:val="073700EA"/>
    <w:rsid w:val="0861796A"/>
    <w:rsid w:val="087162E1"/>
    <w:rsid w:val="08772512"/>
    <w:rsid w:val="08934B69"/>
    <w:rsid w:val="0936027E"/>
    <w:rsid w:val="09842276"/>
    <w:rsid w:val="09D72421"/>
    <w:rsid w:val="09E16FB9"/>
    <w:rsid w:val="0A012599"/>
    <w:rsid w:val="0A481EF1"/>
    <w:rsid w:val="0DBC638E"/>
    <w:rsid w:val="0E4F1D43"/>
    <w:rsid w:val="0F5E06C7"/>
    <w:rsid w:val="10C91EE2"/>
    <w:rsid w:val="10EC7E0F"/>
    <w:rsid w:val="1137727C"/>
    <w:rsid w:val="114F6EBC"/>
    <w:rsid w:val="115805BF"/>
    <w:rsid w:val="1163104C"/>
    <w:rsid w:val="12303E6E"/>
    <w:rsid w:val="12897B14"/>
    <w:rsid w:val="129D714C"/>
    <w:rsid w:val="14235ED6"/>
    <w:rsid w:val="148473E2"/>
    <w:rsid w:val="15455939"/>
    <w:rsid w:val="154918C2"/>
    <w:rsid w:val="155074F4"/>
    <w:rsid w:val="16047E38"/>
    <w:rsid w:val="169C799E"/>
    <w:rsid w:val="18BE0C4E"/>
    <w:rsid w:val="18DC68E7"/>
    <w:rsid w:val="19DA3FD1"/>
    <w:rsid w:val="1AC0211B"/>
    <w:rsid w:val="1B701586"/>
    <w:rsid w:val="1BFC3DFF"/>
    <w:rsid w:val="1C0C002B"/>
    <w:rsid w:val="1CE434D5"/>
    <w:rsid w:val="1D277425"/>
    <w:rsid w:val="1E44216D"/>
    <w:rsid w:val="1ECD66FA"/>
    <w:rsid w:val="1F3F55B9"/>
    <w:rsid w:val="1F887A0D"/>
    <w:rsid w:val="20306AF3"/>
    <w:rsid w:val="205F1281"/>
    <w:rsid w:val="20977950"/>
    <w:rsid w:val="212D381A"/>
    <w:rsid w:val="21547029"/>
    <w:rsid w:val="22F729A7"/>
    <w:rsid w:val="238D01FA"/>
    <w:rsid w:val="24711462"/>
    <w:rsid w:val="24AE2579"/>
    <w:rsid w:val="24D109A2"/>
    <w:rsid w:val="25062F64"/>
    <w:rsid w:val="27F0317F"/>
    <w:rsid w:val="27F3237E"/>
    <w:rsid w:val="282E0B03"/>
    <w:rsid w:val="28C07350"/>
    <w:rsid w:val="2912186E"/>
    <w:rsid w:val="294377AB"/>
    <w:rsid w:val="29B616C2"/>
    <w:rsid w:val="29D92721"/>
    <w:rsid w:val="2A1A37F5"/>
    <w:rsid w:val="2AA019D0"/>
    <w:rsid w:val="2AFC4A8F"/>
    <w:rsid w:val="2C841E41"/>
    <w:rsid w:val="2CDF4A29"/>
    <w:rsid w:val="2DDB143E"/>
    <w:rsid w:val="2DE22329"/>
    <w:rsid w:val="2E401B71"/>
    <w:rsid w:val="2EF07FE9"/>
    <w:rsid w:val="2F30260B"/>
    <w:rsid w:val="2F394808"/>
    <w:rsid w:val="2FFF140B"/>
    <w:rsid w:val="308959E5"/>
    <w:rsid w:val="30970232"/>
    <w:rsid w:val="30B67293"/>
    <w:rsid w:val="310633AE"/>
    <w:rsid w:val="31DD4B35"/>
    <w:rsid w:val="31E605A3"/>
    <w:rsid w:val="32FF0565"/>
    <w:rsid w:val="33604A77"/>
    <w:rsid w:val="33707676"/>
    <w:rsid w:val="33CC2127"/>
    <w:rsid w:val="348242DD"/>
    <w:rsid w:val="34A94D62"/>
    <w:rsid w:val="358027D2"/>
    <w:rsid w:val="35B23F01"/>
    <w:rsid w:val="360D7FA3"/>
    <w:rsid w:val="38935446"/>
    <w:rsid w:val="3913362E"/>
    <w:rsid w:val="397743C4"/>
    <w:rsid w:val="3A47640F"/>
    <w:rsid w:val="3A9D2A7E"/>
    <w:rsid w:val="3B3C7C4A"/>
    <w:rsid w:val="3C372AB6"/>
    <w:rsid w:val="3D1D5C8C"/>
    <w:rsid w:val="3DCC4E57"/>
    <w:rsid w:val="3EB9673A"/>
    <w:rsid w:val="3EB97CA4"/>
    <w:rsid w:val="3F5B2981"/>
    <w:rsid w:val="3FC304C7"/>
    <w:rsid w:val="406B41DB"/>
    <w:rsid w:val="40881936"/>
    <w:rsid w:val="40FD6DFF"/>
    <w:rsid w:val="41F73F5A"/>
    <w:rsid w:val="42F05FA2"/>
    <w:rsid w:val="42F822EC"/>
    <w:rsid w:val="431E4995"/>
    <w:rsid w:val="443C778D"/>
    <w:rsid w:val="455916ED"/>
    <w:rsid w:val="45804003"/>
    <w:rsid w:val="45FE6A67"/>
    <w:rsid w:val="46932BCF"/>
    <w:rsid w:val="46E057BD"/>
    <w:rsid w:val="476E1B1D"/>
    <w:rsid w:val="478D3378"/>
    <w:rsid w:val="47ED0937"/>
    <w:rsid w:val="47F2473E"/>
    <w:rsid w:val="49221DAA"/>
    <w:rsid w:val="49F977DB"/>
    <w:rsid w:val="4A0A2264"/>
    <w:rsid w:val="4A96653E"/>
    <w:rsid w:val="4AAC0A4B"/>
    <w:rsid w:val="4B47323C"/>
    <w:rsid w:val="4B4C27DA"/>
    <w:rsid w:val="4D0E70BC"/>
    <w:rsid w:val="4D556A88"/>
    <w:rsid w:val="4ED36F54"/>
    <w:rsid w:val="4EDE1103"/>
    <w:rsid w:val="4F786611"/>
    <w:rsid w:val="4FBC1F97"/>
    <w:rsid w:val="51CE1AEB"/>
    <w:rsid w:val="522C60A4"/>
    <w:rsid w:val="54BB296D"/>
    <w:rsid w:val="54F56A9D"/>
    <w:rsid w:val="55125B61"/>
    <w:rsid w:val="552D3985"/>
    <w:rsid w:val="55315609"/>
    <w:rsid w:val="55AF5316"/>
    <w:rsid w:val="55BF410B"/>
    <w:rsid w:val="566E43F9"/>
    <w:rsid w:val="56976953"/>
    <w:rsid w:val="56BD3A1F"/>
    <w:rsid w:val="5716762D"/>
    <w:rsid w:val="573449FD"/>
    <w:rsid w:val="579A7CD1"/>
    <w:rsid w:val="57BD33C6"/>
    <w:rsid w:val="58135FF6"/>
    <w:rsid w:val="5857329C"/>
    <w:rsid w:val="5922354D"/>
    <w:rsid w:val="594546C3"/>
    <w:rsid w:val="5A0C31DE"/>
    <w:rsid w:val="5AF8386F"/>
    <w:rsid w:val="5B22547E"/>
    <w:rsid w:val="5B3B059D"/>
    <w:rsid w:val="5B7A2171"/>
    <w:rsid w:val="5C060B30"/>
    <w:rsid w:val="5C472023"/>
    <w:rsid w:val="5D554B15"/>
    <w:rsid w:val="5D723EC3"/>
    <w:rsid w:val="5E9F11E3"/>
    <w:rsid w:val="5F1B0F89"/>
    <w:rsid w:val="5F536B85"/>
    <w:rsid w:val="5FC24D7D"/>
    <w:rsid w:val="5FF839AF"/>
    <w:rsid w:val="612421C9"/>
    <w:rsid w:val="6238389F"/>
    <w:rsid w:val="629220B5"/>
    <w:rsid w:val="62A66BBF"/>
    <w:rsid w:val="62E319FC"/>
    <w:rsid w:val="63B1350D"/>
    <w:rsid w:val="64E720F3"/>
    <w:rsid w:val="65374C3C"/>
    <w:rsid w:val="657F3D1A"/>
    <w:rsid w:val="658544C2"/>
    <w:rsid w:val="65C63D46"/>
    <w:rsid w:val="66E41FC2"/>
    <w:rsid w:val="67457D04"/>
    <w:rsid w:val="68853E7A"/>
    <w:rsid w:val="68C12F33"/>
    <w:rsid w:val="69036948"/>
    <w:rsid w:val="6918726E"/>
    <w:rsid w:val="69C26D6C"/>
    <w:rsid w:val="69EF309E"/>
    <w:rsid w:val="6A8E68C2"/>
    <w:rsid w:val="6AD577FD"/>
    <w:rsid w:val="6B1E3880"/>
    <w:rsid w:val="6B664768"/>
    <w:rsid w:val="6C6B08A8"/>
    <w:rsid w:val="6C890713"/>
    <w:rsid w:val="6C9C5858"/>
    <w:rsid w:val="6E25669E"/>
    <w:rsid w:val="6E6B2CA2"/>
    <w:rsid w:val="6E9C4850"/>
    <w:rsid w:val="6FA21BB0"/>
    <w:rsid w:val="6FC25391"/>
    <w:rsid w:val="703310AA"/>
    <w:rsid w:val="71FD2464"/>
    <w:rsid w:val="731F26D1"/>
    <w:rsid w:val="732C0A81"/>
    <w:rsid w:val="73F81E3C"/>
    <w:rsid w:val="742A4500"/>
    <w:rsid w:val="74885314"/>
    <w:rsid w:val="749A398B"/>
    <w:rsid w:val="74B77DB6"/>
    <w:rsid w:val="74F2582F"/>
    <w:rsid w:val="76131D89"/>
    <w:rsid w:val="770132ED"/>
    <w:rsid w:val="777B7C51"/>
    <w:rsid w:val="77A75F2F"/>
    <w:rsid w:val="77C74066"/>
    <w:rsid w:val="77CF5135"/>
    <w:rsid w:val="7891075A"/>
    <w:rsid w:val="79B26BB5"/>
    <w:rsid w:val="7A341F6C"/>
    <w:rsid w:val="7A7829EC"/>
    <w:rsid w:val="7B1C7CE1"/>
    <w:rsid w:val="7B95521D"/>
    <w:rsid w:val="7BA1632C"/>
    <w:rsid w:val="7D50174B"/>
    <w:rsid w:val="7E1E4B18"/>
    <w:rsid w:val="7EC87767"/>
    <w:rsid w:val="7EF8518C"/>
    <w:rsid w:val="7F2B45C2"/>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4">
    <w:name w:val="Body Text First Indent"/>
    <w:basedOn w:val="5"/>
    <w:next w:val="1"/>
    <w:qFormat/>
    <w:uiPriority w:val="0"/>
    <w:pPr>
      <w:tabs>
        <w:tab w:val="left" w:pos="420"/>
        <w:tab w:val="left" w:pos="2310"/>
        <w:tab w:val="left" w:pos="4200"/>
        <w:tab w:val="left" w:pos="6090"/>
      </w:tabs>
      <w:spacing w:line="288" w:lineRule="auto"/>
      <w:ind w:firstLine="420" w:firstLineChars="200"/>
    </w:pPr>
    <w:rPr>
      <w:rFonts w:ascii="宋体" w:hAnsi="宋体" w:eastAsia="宋体" w:cs="宋体"/>
    </w:rPr>
  </w:style>
  <w:style w:type="paragraph" w:styleId="5">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10917</Words>
  <Characters>11825</Characters>
  <Lines>0</Lines>
  <Paragraphs>0</Paragraphs>
  <TotalTime>10</TotalTime>
  <ScaleCrop>false</ScaleCrop>
  <LinksUpToDate>false</LinksUpToDate>
  <CharactersWithSpaces>12159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2023-02-22T09:47:38Z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