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  <w:t>报名操作流程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网上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注册及报名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（具体以系统开放时间为准）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报名系统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网址：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http://124.160.187.89:7008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登录报名系统，注册个人真实信息，然后选择岗位，开始报名。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人员须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按选定岗位要求上传相关证件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原件扫描件（照片）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户口簿、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学历证书、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学信网学历验证报告、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《社会工作者职业水平证书》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《退伍（役）证》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、《中共党员证明》、《临平区专职网格员、编外人员（镇街、部门）工作证明》、《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临平区驻区部队现役军人家属证明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材料，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逾期不再受理。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个人信息必须真实有效，如有虚假信息则取消报考资格。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（1）报考人员只注册不报名的，报考无效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本阶段内报考人员可更改个人报考信息，招聘单位暂不作初审。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6月12日至6月18日，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报考系统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每天12点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更新一次各岗位注册报名的实时人数，考生可更改报考岗位等信息，以最后选定的岗位为准。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（2）报考人员只能用第二代身份证号报名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需上传个人免冠照片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（3）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《社会工作者职业水平证书》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上传证书的原件扫描件（照片），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申报笔试加分，逾期不予受理。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2.资格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审查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6月19日9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时—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6月26日16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招聘单位对报考人员最后选定的岗位进行资格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未通过的人员，说明理由。在此期间，报名系统不对报考人员开放。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    3.查询并再次报名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6月27日9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时—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6月29日16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已报名人员登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报名系统，查询资格初审结果。通过资格审查的，不能再改报其他岗位；未通过的可更改报考单位及岗位并再次接受资格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因招聘岗位未达规定开考比例被取消的，另行通知有关人员改报。审查截止时间为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6月30日16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未及时改报者视为自动放弃报考。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    4.下载并打印准考证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时间另行通知。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line="560" w:lineRule="exact"/>
        <w:ind w:left="638" w:leftChars="304" w:right="0" w:firstLine="0" w:firstLineChars="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g1NWU3YWYyZWFlMTA1MDBiMTU0ZDY5YzdkMmUifQ=="/>
  </w:docVars>
  <w:rsids>
    <w:rsidRoot w:val="6CC234F7"/>
    <w:rsid w:val="6CC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2023-06-03T07:16:00Z</dcterms:created>
  <dc:creator>Administrator</dc:creator>
  <cp:lastModifiedBy>Administrator</cp:lastModifiedBy>
  <dcterms:modified xsi:type="dcterms:W3CDTF">2023-06-03T07:16:30Z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2E7AD91405E640DB9B6CEEC16F93F7BE_11</vt:lpwstr>
  </property>
</Properties>
</file>