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1名词解释</w:t>
      </w:r>
    </w:p>
    <w:p>
      <w:pPr>
        <w:snapToGrid w:val="0"/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粘性：</w:t>
      </w:r>
      <w:r>
        <w:rPr>
          <w:rFonts w:hint="eastAsia" w:ascii="宋体" w:hAnsi="宋体"/>
          <w:sz w:val="20"/>
          <w:szCs w:val="20"/>
        </w:rPr>
        <w:t>当流体处于运动状态时，如果流体质点之间存在相对运动，则质点之间要产生内摩擦力抵抗其相对运动，流体的这种性质称为粘性或者粘滞性。</w:t>
      </w:r>
    </w:p>
    <w:p>
      <w:pPr>
        <w:rPr>
          <w:rFonts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default"/>
          <w:sz w:val="20"/>
          <w:szCs w:val="20"/>
          <w:lang w:val="en-US" w:eastAsia="zh-CN"/>
        </w:rPr>
        <w:t>断面平均流速</w:t>
      </w:r>
      <w:r>
        <w:rPr>
          <w:rFonts w:hint="eastAsia"/>
          <w:sz w:val="20"/>
          <w:szCs w:val="20"/>
          <w:lang w:val="en-US" w:eastAsia="zh-CN"/>
        </w:rPr>
        <w:t>：</w:t>
      </w:r>
      <w:r>
        <w:rPr>
          <w:rFonts w:ascii="PingFangSC-Regular" w:hAnsi="PingFangSC-Regular" w:eastAsia="PingFangSC-Regular" w:cs="PingFangSC-Regular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设想过流断面上速度v均匀分布,通过的流量等于实际流量,此速度v定义为该断面的平均流速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PingFangSC-Regular" w:hAnsi="PingFangSC-Regular" w:eastAsia="宋体" w:cs="PingFangSC-Regular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粘性底层：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在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instrText xml:space="preserve"> HYPERLINK "https://baike.baidu.com/item/%E6%B9%8D%E6%B5%81/68402?fromModule=lemma_inlink" \t "https://baike.baidu.com/item/%E7%B2%98%E6%80%A7%E5%BA%95%E5%B1%82/_blank"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t>湍流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中，紧靠固体边界附近的地方，因脉动流速很小，由脉动流速产生的附加切应力也很小，而流速梯度却很大，所以粘滞切应力起主导作用，其流态基本上属于层流。因此湍流中不是整个液流都是湍流，在紧靠固体边界表面有一层极薄的层流层存在，该层流层就叫粘性底层。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短管：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当水流的流速水头和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instrText xml:space="preserve"> HYPERLINK "https://baike.baidu.com/item/%E5%B1%80%E9%83%A8%E6%B0%B4%E5%A4%B4%E6%8D%9F%E5%A4%B1/3380574?fromModule=lemma_inlink" \t "https://baike.baidu.com/item/%E7%9F%AD%E7%AE%A1/_blank"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t>局部水头损失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都不能忽略不计的管道称为短管。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临界底坡概念：在棱柱形渠道中，断面形状尺寸、流量一定时，在渠中形成均匀流，若均匀流的正常水深恰好等于该流量的临界水深，则这个渠道的底坡叫做临界底坡。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判断题：AABBA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填空题 1、2750m³/s  2、层流 ；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紊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>流；临界雷诺数 3、液体的粘滞性，边界条件的影响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1027430" cy="414020"/>
            <wp:effectExtent l="0" t="0" r="88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5、堰流，顶部闸门完全开启；闸孔出流:项部闸门部分开后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层流状态  7、雷诺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简单题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z+=c其中z表示单位重量流体所具有的位能；表示单位重量流体所具有的压强势能；表示单位重量流体所具有的动能；等表示单位重量流体所具有的总势能；表示单位重量流体所具有的机械能。 适用范围：①理想流体；②稳定流动；③质量力只受重力；④不可压流体；⑤沿流线或微小流束。z+=c,其中,z表示单位重量流体所具有的位能；表示单位重量流体所具有的压强势能；表示单位重量流体所具有的动能；等表示单位重量流体所具有的总势能；表示单位重量流体所具有的机械能。适用范围：①理想流体；②稳定流动；③质量力只受重力；④不可压流体；⑤沿流线或微小流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4计算题</w:t>
      </w:r>
    </w:p>
    <w:p>
      <w:r>
        <w:drawing>
          <wp:inline distT="0" distB="0" distL="114300" distR="114300">
            <wp:extent cx="2256155" cy="3016250"/>
            <wp:effectExtent l="0" t="0" r="146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34354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A8F05"/>
    <w:multiLevelType w:val="singleLevel"/>
    <w:tmpl w:val="D64A8F0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E131BA9"/>
    <w:rsid w:val="1E1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2022-12-18T03:14:00Z</dcterms:created>
  <dc:creator>陈慧.15925631909</dc:creator>
  <cp:lastModifiedBy>陈慧.15925631909</cp:lastModifiedBy>
  <dcterms:modified xsi:type="dcterms:W3CDTF">2022-12-18T04:54:26Z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5A63AB33CED14921B96E0ED2F50A908A</vt:lpwstr>
  </property>
</Properties>
</file>