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客观题直接录入考试系统（可自行通过不挂科以及百度APP来进行搜题复查）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1-5：CCCBA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6-10：BBACA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11-14：BADB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15：ABCD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16：ABCD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17：BCE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18：ABD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19：AD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20：ABCD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21：ABC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22-25：对对对错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26-30：对错错错错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31：错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（以下部分需要手抄，请保持笔迹一致）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u w:val="single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姓名：</w:t>
      </w:r>
      <w:r>
        <w:rPr>
          <w:rFonts w:hint="eastAsia"/>
          <w:b/>
          <w:bCs/>
          <w:color w:val="FF0000"/>
          <w:u w:val="single"/>
          <w:lang w:val="en-US" w:eastAsia="zh-CN"/>
        </w:rPr>
        <w:t xml:space="preserve">                  </w:t>
      </w:r>
      <w:r>
        <w:rPr>
          <w:rFonts w:hint="eastAsia"/>
          <w:b/>
          <w:bCs/>
          <w:color w:val="FF0000"/>
          <w:u w:val="none"/>
          <w:lang w:val="en-US" w:eastAsia="zh-CN"/>
        </w:rPr>
        <w:t>科目：</w:t>
      </w:r>
      <w:r>
        <w:rPr>
          <w:rFonts w:hint="eastAsia"/>
          <w:b/>
          <w:bCs/>
          <w:color w:val="FF0000"/>
          <w:u w:val="single"/>
          <w:lang w:val="en-US" w:eastAsia="zh-CN"/>
        </w:rPr>
        <w:t xml:space="preserve">会计学原理   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u w:val="singl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四、填空题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1、单位内部监督、国家会计监督和社会会计监督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2、期初余额本期减少额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3、管理费用、成本费用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4、定盈余公积、任意盈余公积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5、三栏式、采用多栏式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6、出现了未达账项，记账有错误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7、资产负债表、损益表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五、计算及账务处理题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答：</w:t>
      </w:r>
      <w:r>
        <w:rPr>
          <w:rFonts w:hint="eastAsia"/>
        </w:rPr>
        <w:t xml:space="preserve">1、借:管理费用    800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贷:库存现金    800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2、借:管理费用     900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库存现金300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贷:其他应收款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1 200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 3、借:营业外支出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3 000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贷:银行存款   3 000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4、借:财务费用 900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贷:应付利息 900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5、借:坏账准备  4 000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贷:应收账款  4 000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 6、借:管理费用  400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贷:原材料    400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 7、借:银行存款  7 000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贷:其他业务收入 7 000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 8、借:营业外支出 50 000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贷:银行存款   50 000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9、借:管理费用  500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贷:预付账款  500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10、借:其他应付款600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>贷:其他业务收入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512.82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 xml:space="preserve">应交税费——应交增值税——销项税    87.18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11、借:银行存款 1 200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贷:投资收益   1 200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12、借:财务费用  1 020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应付利息   10 000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 xml:space="preserve">贷:银行存款  11 020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13、借:管理费用  9 025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 xml:space="preserve">库存现金    5 975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贷:银行存款   15 000</w:t>
      </w: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六：案例分析题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答：</w:t>
      </w:r>
      <w:r>
        <w:rPr>
          <w:rFonts w:hint="eastAsia"/>
        </w:rPr>
        <w:t>（1）出纳员应负责追回损失的现金，若无法追回，出纳员应承担连带赔偿责任。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对采购员应责其交回贪污的9000元库存现金，并进行批评教育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（3</w:t>
      </w:r>
      <w:r>
        <w:rPr>
          <w:rFonts w:hint="eastAsia"/>
        </w:rPr>
        <w:t>）出纳员应首先检查原始凭证，即应检查发票有无部门领导的签字，发票金额的笔体是否一致。发现有疑点时，应采用函询法调查住宿单价</w:t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07000" cy="51625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521652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70450" cy="26987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1550" cy="47053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9950" cy="52578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95850" cy="49085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616065"/>
            <wp:effectExtent l="0" t="0" r="1143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7900" cy="27622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41850" cy="38989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890" w:firstLineChars="900"/>
      </w:pPr>
      <w:r>
        <w:drawing>
          <wp:inline distT="0" distB="0" distL="114300" distR="114300">
            <wp:extent cx="4921250" cy="40703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06950" cy="28003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hNTIxNzViZDJiYmFlYzM0YzhkZGI3ZTg5MDg0MDAifQ=="/>
  </w:docVars>
  <w:rsids>
    <w:rsidRoot w:val="3BF64014"/>
    <w:rsid w:val="11D73198"/>
    <w:rsid w:val="3ABB2076"/>
    <w:rsid w:val="3BF6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2022-12-13T08:42:00Z</dcterms:created>
  <dc:creator>@......</dc:creator>
  <cp:lastModifiedBy>陈慧.15925631909</cp:lastModifiedBy>
  <dcterms:modified xsi:type="dcterms:W3CDTF">2022-12-14T03:09:14Z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5AD3AD36257348B39139846E76258835</vt:lpwstr>
  </property>
</Properties>
</file>