
<file path=[Content_Types].xml><?xml version="1.0" encoding="utf-8"?>
<Types xmlns="http://schemas.openxmlformats.org/package/2006/content-types">
  <Default Extension="xml" ContentType="application/xml"/>
  <Default Extension="png" ContentType="image/png"/>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bidi w:val="0"/>
        <w:ind w:left="0" w:leftChars="0" w:right="0" w:rightChars="0" w:firstLine="0" w:firstLineChars="0"/>
        <w:jc w:val="center"/>
        <w:rPr>
          <w:rFonts w:hint="default"/>
          <w:lang w:val="en-US" w:eastAsia="zh-CN"/>
        </w:rPr>
      </w:pPr>
      <w:r>
        <w:rPr>
          <w:rFonts w:hint="eastAsia"/>
          <w:lang w:val="en-US" w:eastAsia="zh-CN"/>
        </w:rPr>
        <w:t>11月时政新闻考点</w:t>
      </w:r>
    </w:p>
    <w:p>
      <w:pPr>
        <w:pStyle w:val="7"/>
        <w:bidi w:val="0"/>
        <w:rPr>
          <w:rFonts w:hint="eastAsia"/>
          <w:lang w:eastAsia="zh-CN"/>
        </w:rPr>
      </w:pPr>
      <w:r>
        <mc:AlternateContent>
          <mc:Choice Requires="wpg">
            <w:drawing>
              <wp:anchor distT="0" distB="0" distL="114300" distR="114300" simplePos="0" relativeHeight="251661312" behindDoc="0" locked="0" layoutInCell="1" allowOverlap="1">
                <wp:simplePos x="0" y="0"/>
                <wp:positionH relativeFrom="column">
                  <wp:posOffset>-64770</wp:posOffset>
                </wp:positionH>
                <wp:positionV relativeFrom="paragraph">
                  <wp:posOffset>73660</wp:posOffset>
                </wp:positionV>
                <wp:extent cx="1469390" cy="627380"/>
                <wp:effectExtent l="0" t="0" r="16510" b="0"/>
                <wp:wrapNone/>
                <wp:docPr id="27" name="组合 27" descr="7b0a202020202274657874626f78223a20227b5c2269645c223a32303334333734372c5c2263617465676f72795f69645c223a5c225c227d220a7d0a"/>
                <wp:cNvGraphicFramePr>
                  <a:extLst xmlns:a="http://schemas.openxmlformats.org/drawingml/2006/main">
                    <a:ext uri="{7FBC4E63-A832-4D11-8238-D91031DB1400}">
                      <s:tag xmlns="http://www.wps.cn/officeDocument/2013/wpsCustomData" xmlns:s="http://www.wps.cn/officeDocument/2013/wpsCustomData">
                        <s:item s:name="KSO_DOCER_RESOURCE_TRACE_INFO" s:val="{&quot;id&quot;:&quot;20343747&quot;,&quot;origin&quot;:0,&quot;type&quot;:&quot;textbox&quot;,&quot;user&quot;:&quot;238201592&quot;}"/>
                      </s:tag>
                    </a:ext>
                  </a:extLst>
                </wp:cNvGraphicFramePr>
                <a:graphic xmlns:a="http://schemas.openxmlformats.org/drawingml/2006/main">
                  <a:graphicData uri="http://schemas.microsoft.com/office/word/2010/wordprocessingGroup">
                    <wpg:wgp>
                      <wpg:cNvGrpSpPr/>
                      <wpg:grpSpPr>
                        <a:xfrm>
                          <a:off x="0" y="0"/>
                          <a:ext cx="1469390" cy="627380"/>
                          <a:chOff x="5718" y="1723"/>
                          <a:chExt cx="8436" cy="4283"/>
                        </a:xfrm>
                      </wpg:grpSpPr>
                      <wpg:grpSp>
                        <wpg:cNvPr id="28" name="组合 1173"/>
                        <wpg:cNvGrpSpPr/>
                        <wpg:grpSpPr>
                          <a:xfrm rot="0">
                            <a:off x="5718" y="1723"/>
                            <a:ext cx="8436" cy="3539"/>
                            <a:chOff x="3354388" y="2274888"/>
                            <a:chExt cx="5478463" cy="2298700"/>
                          </a:xfrm>
                          <a:gradFill>
                            <a:gsLst>
                              <a:gs pos="0">
                                <a:srgbClr val="4B62D6"/>
                              </a:gs>
                              <a:gs pos="100000">
                                <a:srgbClr val="00B0F0"/>
                              </a:gs>
                            </a:gsLst>
                            <a:lin ang="11400000" scaled="0"/>
                          </a:gradFill>
                        </wpg:grpSpPr>
                        <wps:wsp>
                          <wps:cNvPr id="29" name="Freeform 155"/>
                          <wps:cNvSpPr>
                            <a:spLocks noEditPoints="1"/>
                          </wps:cNvSpPr>
                          <wps:spPr bwMode="auto">
                            <a:xfrm>
                              <a:off x="4019551" y="4378325"/>
                              <a:ext cx="103188" cy="101600"/>
                            </a:xfrm>
                            <a:custGeom>
                              <a:avLst/>
                              <a:gdLst>
                                <a:gd name="T0" fmla="*/ 12 w 24"/>
                                <a:gd name="T1" fmla="*/ 24 h 24"/>
                                <a:gd name="T2" fmla="*/ 0 w 24"/>
                                <a:gd name="T3" fmla="*/ 12 h 24"/>
                                <a:gd name="T4" fmla="*/ 12 w 24"/>
                                <a:gd name="T5" fmla="*/ 0 h 24"/>
                                <a:gd name="T6" fmla="*/ 24 w 24"/>
                                <a:gd name="T7" fmla="*/ 12 h 24"/>
                                <a:gd name="T8" fmla="*/ 12 w 24"/>
                                <a:gd name="T9" fmla="*/ 24 h 24"/>
                                <a:gd name="T10" fmla="*/ 12 w 24"/>
                                <a:gd name="T11" fmla="*/ 5 h 24"/>
                                <a:gd name="T12" fmla="*/ 4 w 24"/>
                                <a:gd name="T13" fmla="*/ 12 h 24"/>
                                <a:gd name="T14" fmla="*/ 12 w 24"/>
                                <a:gd name="T15" fmla="*/ 20 h 24"/>
                                <a:gd name="T16" fmla="*/ 19 w 24"/>
                                <a:gd name="T17" fmla="*/ 12 h 24"/>
                                <a:gd name="T18" fmla="*/ 12 w 24"/>
                                <a:gd name="T19" fmla="*/ 5 h 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4" h="24">
                                  <a:moveTo>
                                    <a:pt x="12" y="24"/>
                                  </a:moveTo>
                                  <a:cubicBezTo>
                                    <a:pt x="5" y="24"/>
                                    <a:pt x="0" y="19"/>
                                    <a:pt x="0" y="12"/>
                                  </a:cubicBezTo>
                                  <a:cubicBezTo>
                                    <a:pt x="0" y="6"/>
                                    <a:pt x="5" y="0"/>
                                    <a:pt x="12" y="0"/>
                                  </a:cubicBezTo>
                                  <a:cubicBezTo>
                                    <a:pt x="19" y="0"/>
                                    <a:pt x="24" y="6"/>
                                    <a:pt x="24" y="12"/>
                                  </a:cubicBezTo>
                                  <a:cubicBezTo>
                                    <a:pt x="24" y="19"/>
                                    <a:pt x="19" y="24"/>
                                    <a:pt x="12" y="24"/>
                                  </a:cubicBezTo>
                                  <a:close/>
                                  <a:moveTo>
                                    <a:pt x="12" y="5"/>
                                  </a:moveTo>
                                  <a:cubicBezTo>
                                    <a:pt x="8" y="5"/>
                                    <a:pt x="4" y="8"/>
                                    <a:pt x="4" y="12"/>
                                  </a:cubicBezTo>
                                  <a:cubicBezTo>
                                    <a:pt x="4" y="16"/>
                                    <a:pt x="8" y="20"/>
                                    <a:pt x="12" y="20"/>
                                  </a:cubicBezTo>
                                  <a:cubicBezTo>
                                    <a:pt x="16" y="20"/>
                                    <a:pt x="19" y="16"/>
                                    <a:pt x="19" y="12"/>
                                  </a:cubicBezTo>
                                  <a:cubicBezTo>
                                    <a:pt x="19" y="8"/>
                                    <a:pt x="16" y="5"/>
                                    <a:pt x="12" y="5"/>
                                  </a:cubicBezTo>
                                  <a:close/>
                                </a:path>
                              </a:pathLst>
                            </a:custGeom>
                            <a:grpFill/>
                            <a:ln>
                              <a:noFill/>
                            </a:ln>
                          </wps:spPr>
                          <wps:bodyPr/>
                        </wps:wsp>
                        <wps:wsp>
                          <wps:cNvPr id="30" name="Freeform 156"/>
                          <wps:cNvSpPr>
                            <a:spLocks noEditPoints="1"/>
                          </wps:cNvSpPr>
                          <wps:spPr bwMode="auto">
                            <a:xfrm>
                              <a:off x="8637588" y="2628900"/>
                              <a:ext cx="106363" cy="106363"/>
                            </a:xfrm>
                            <a:custGeom>
                              <a:avLst/>
                              <a:gdLst>
                                <a:gd name="T0" fmla="*/ 13 w 25"/>
                                <a:gd name="T1" fmla="*/ 25 h 25"/>
                                <a:gd name="T2" fmla="*/ 0 w 25"/>
                                <a:gd name="T3" fmla="*/ 12 h 25"/>
                                <a:gd name="T4" fmla="*/ 13 w 25"/>
                                <a:gd name="T5" fmla="*/ 0 h 25"/>
                                <a:gd name="T6" fmla="*/ 25 w 25"/>
                                <a:gd name="T7" fmla="*/ 12 h 25"/>
                                <a:gd name="T8" fmla="*/ 13 w 25"/>
                                <a:gd name="T9" fmla="*/ 25 h 25"/>
                                <a:gd name="T10" fmla="*/ 13 w 25"/>
                                <a:gd name="T11" fmla="*/ 5 h 25"/>
                                <a:gd name="T12" fmla="*/ 5 w 25"/>
                                <a:gd name="T13" fmla="*/ 12 h 25"/>
                                <a:gd name="T14" fmla="*/ 13 w 25"/>
                                <a:gd name="T15" fmla="*/ 20 h 25"/>
                                <a:gd name="T16" fmla="*/ 20 w 25"/>
                                <a:gd name="T17" fmla="*/ 12 h 25"/>
                                <a:gd name="T18" fmla="*/ 13 w 25"/>
                                <a:gd name="T19" fmla="*/ 5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5" h="25">
                                  <a:moveTo>
                                    <a:pt x="13" y="25"/>
                                  </a:moveTo>
                                  <a:cubicBezTo>
                                    <a:pt x="6" y="25"/>
                                    <a:pt x="0" y="19"/>
                                    <a:pt x="0" y="12"/>
                                  </a:cubicBezTo>
                                  <a:cubicBezTo>
                                    <a:pt x="0" y="6"/>
                                    <a:pt x="6" y="0"/>
                                    <a:pt x="13" y="0"/>
                                  </a:cubicBezTo>
                                  <a:cubicBezTo>
                                    <a:pt x="19" y="0"/>
                                    <a:pt x="25" y="6"/>
                                    <a:pt x="25" y="12"/>
                                  </a:cubicBezTo>
                                  <a:cubicBezTo>
                                    <a:pt x="25" y="19"/>
                                    <a:pt x="19" y="25"/>
                                    <a:pt x="13" y="25"/>
                                  </a:cubicBezTo>
                                  <a:close/>
                                  <a:moveTo>
                                    <a:pt x="13" y="5"/>
                                  </a:moveTo>
                                  <a:cubicBezTo>
                                    <a:pt x="8" y="5"/>
                                    <a:pt x="5" y="8"/>
                                    <a:pt x="5" y="12"/>
                                  </a:cubicBezTo>
                                  <a:cubicBezTo>
                                    <a:pt x="5" y="17"/>
                                    <a:pt x="8" y="20"/>
                                    <a:pt x="13" y="20"/>
                                  </a:cubicBezTo>
                                  <a:cubicBezTo>
                                    <a:pt x="17" y="20"/>
                                    <a:pt x="20" y="17"/>
                                    <a:pt x="20" y="12"/>
                                  </a:cubicBezTo>
                                  <a:cubicBezTo>
                                    <a:pt x="20" y="8"/>
                                    <a:pt x="17" y="5"/>
                                    <a:pt x="13" y="5"/>
                                  </a:cubicBezTo>
                                  <a:close/>
                                </a:path>
                              </a:pathLst>
                            </a:custGeom>
                            <a:grpFill/>
                            <a:ln>
                              <a:noFill/>
                            </a:ln>
                          </wps:spPr>
                          <wps:bodyPr/>
                        </wps:wsp>
                        <wps:wsp>
                          <wps:cNvPr id="31" name="Freeform 157"/>
                          <wps:cNvSpPr>
                            <a:spLocks noEditPoints="1"/>
                          </wps:cNvSpPr>
                          <wps:spPr bwMode="auto">
                            <a:xfrm>
                              <a:off x="3481388" y="2479675"/>
                              <a:ext cx="5351463" cy="2093913"/>
                            </a:xfrm>
                            <a:custGeom>
                              <a:avLst/>
                              <a:gdLst>
                                <a:gd name="T0" fmla="*/ 3371 w 3371"/>
                                <a:gd name="T1" fmla="*/ 1319 h 1319"/>
                                <a:gd name="T2" fmla="*/ 0 w 3371"/>
                                <a:gd name="T3" fmla="*/ 1319 h 1319"/>
                                <a:gd name="T4" fmla="*/ 0 w 3371"/>
                                <a:gd name="T5" fmla="*/ 0 h 1319"/>
                                <a:gd name="T6" fmla="*/ 3371 w 3371"/>
                                <a:gd name="T7" fmla="*/ 0 h 1319"/>
                                <a:gd name="T8" fmla="*/ 3371 w 3371"/>
                                <a:gd name="T9" fmla="*/ 1319 h 1319"/>
                                <a:gd name="T10" fmla="*/ 22 w 3371"/>
                                <a:gd name="T11" fmla="*/ 1298 h 1319"/>
                                <a:gd name="T12" fmla="*/ 3350 w 3371"/>
                                <a:gd name="T13" fmla="*/ 1298 h 1319"/>
                                <a:gd name="T14" fmla="*/ 3350 w 3371"/>
                                <a:gd name="T15" fmla="*/ 22 h 1319"/>
                                <a:gd name="T16" fmla="*/ 22 w 3371"/>
                                <a:gd name="T17" fmla="*/ 22 h 1319"/>
                                <a:gd name="T18" fmla="*/ 22 w 3371"/>
                                <a:gd name="T19" fmla="*/ 1298 h 13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371" h="1319">
                                  <a:moveTo>
                                    <a:pt x="3371" y="1319"/>
                                  </a:moveTo>
                                  <a:lnTo>
                                    <a:pt x="0" y="1319"/>
                                  </a:lnTo>
                                  <a:lnTo>
                                    <a:pt x="0" y="0"/>
                                  </a:lnTo>
                                  <a:lnTo>
                                    <a:pt x="3371" y="0"/>
                                  </a:lnTo>
                                  <a:lnTo>
                                    <a:pt x="3371" y="1319"/>
                                  </a:lnTo>
                                  <a:close/>
                                  <a:moveTo>
                                    <a:pt x="22" y="1298"/>
                                  </a:moveTo>
                                  <a:lnTo>
                                    <a:pt x="3350" y="1298"/>
                                  </a:lnTo>
                                  <a:lnTo>
                                    <a:pt x="3350" y="22"/>
                                  </a:lnTo>
                                  <a:lnTo>
                                    <a:pt x="22" y="22"/>
                                  </a:lnTo>
                                  <a:lnTo>
                                    <a:pt x="22" y="1298"/>
                                  </a:lnTo>
                                  <a:close/>
                                </a:path>
                              </a:pathLst>
                            </a:custGeom>
                            <a:grpFill/>
                            <a:ln>
                              <a:noFill/>
                            </a:ln>
                          </wps:spPr>
                          <wps:bodyPr/>
                        </wps:wsp>
                        <wps:wsp>
                          <wps:cNvPr id="32" name="Freeform 158"/>
                          <wps:cNvSpPr>
                            <a:spLocks noEditPoints="1"/>
                          </wps:cNvSpPr>
                          <wps:spPr bwMode="auto">
                            <a:xfrm>
                              <a:off x="5224463"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8"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8" y="37"/>
                                    <a:pt x="29" y="37"/>
                                  </a:cubicBezTo>
                                  <a:cubicBezTo>
                                    <a:pt x="30" y="37"/>
                                    <a:pt x="30" y="37"/>
                                    <a:pt x="31" y="37"/>
                                  </a:cubicBezTo>
                                  <a:cubicBezTo>
                                    <a:pt x="32" y="36"/>
                                    <a:pt x="33" y="35"/>
                                    <a:pt x="33" y="33"/>
                                  </a:cubicBezTo>
                                  <a:cubicBezTo>
                                    <a:pt x="33" y="4"/>
                                    <a:pt x="33" y="4"/>
                                    <a:pt x="33" y="4"/>
                                  </a:cubicBezTo>
                                  <a:cubicBezTo>
                                    <a:pt x="33" y="3"/>
                                    <a:pt x="32" y="2"/>
                                    <a:pt x="31" y="1"/>
                                  </a:cubicBezTo>
                                  <a:cubicBezTo>
                                    <a:pt x="30" y="1"/>
                                    <a:pt x="30" y="0"/>
                                    <a:pt x="29" y="0"/>
                                  </a:cubicBezTo>
                                  <a:close/>
                                </a:path>
                              </a:pathLst>
                            </a:custGeom>
                            <a:grpFill/>
                            <a:ln>
                              <a:noFill/>
                            </a:ln>
                          </wps:spPr>
                          <wps:bodyPr/>
                        </wps:wsp>
                        <wps:wsp>
                          <wps:cNvPr id="33" name="Freeform 159"/>
                          <wps:cNvSpPr>
                            <a:spLocks noEditPoints="1"/>
                          </wps:cNvSpPr>
                          <wps:spPr bwMode="auto">
                            <a:xfrm>
                              <a:off x="5051426"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9"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9" y="37"/>
                                    <a:pt x="29" y="37"/>
                                  </a:cubicBezTo>
                                  <a:cubicBezTo>
                                    <a:pt x="30" y="37"/>
                                    <a:pt x="31" y="37"/>
                                    <a:pt x="31" y="37"/>
                                  </a:cubicBezTo>
                                  <a:cubicBezTo>
                                    <a:pt x="32" y="36"/>
                                    <a:pt x="33" y="35"/>
                                    <a:pt x="33" y="33"/>
                                  </a:cubicBezTo>
                                  <a:cubicBezTo>
                                    <a:pt x="33" y="4"/>
                                    <a:pt x="33" y="4"/>
                                    <a:pt x="33" y="4"/>
                                  </a:cubicBezTo>
                                  <a:cubicBezTo>
                                    <a:pt x="33" y="3"/>
                                    <a:pt x="32" y="2"/>
                                    <a:pt x="31" y="1"/>
                                  </a:cubicBezTo>
                                  <a:cubicBezTo>
                                    <a:pt x="31" y="1"/>
                                    <a:pt x="30" y="0"/>
                                    <a:pt x="29" y="0"/>
                                  </a:cubicBezTo>
                                  <a:close/>
                                </a:path>
                              </a:pathLst>
                            </a:custGeom>
                            <a:grpFill/>
                            <a:ln>
                              <a:noFill/>
                            </a:ln>
                          </wps:spPr>
                          <wps:bodyPr/>
                        </wps:wsp>
                        <wps:wsp>
                          <wps:cNvPr id="34" name="Freeform 160"/>
                          <wps:cNvSpPr>
                            <a:spLocks noEditPoints="1"/>
                          </wps:cNvSpPr>
                          <wps:spPr bwMode="auto">
                            <a:xfrm>
                              <a:off x="4876801"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9"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9" y="37"/>
                                    <a:pt x="29" y="37"/>
                                  </a:cubicBezTo>
                                  <a:cubicBezTo>
                                    <a:pt x="30" y="37"/>
                                    <a:pt x="31" y="37"/>
                                    <a:pt x="31" y="37"/>
                                  </a:cubicBezTo>
                                  <a:cubicBezTo>
                                    <a:pt x="33" y="36"/>
                                    <a:pt x="33" y="35"/>
                                    <a:pt x="33" y="33"/>
                                  </a:cubicBezTo>
                                  <a:cubicBezTo>
                                    <a:pt x="33" y="4"/>
                                    <a:pt x="33" y="4"/>
                                    <a:pt x="33" y="4"/>
                                  </a:cubicBezTo>
                                  <a:cubicBezTo>
                                    <a:pt x="33" y="3"/>
                                    <a:pt x="33" y="2"/>
                                    <a:pt x="31" y="1"/>
                                  </a:cubicBezTo>
                                  <a:cubicBezTo>
                                    <a:pt x="31" y="1"/>
                                    <a:pt x="30" y="0"/>
                                    <a:pt x="29" y="0"/>
                                  </a:cubicBezTo>
                                  <a:close/>
                                </a:path>
                              </a:pathLst>
                            </a:custGeom>
                            <a:grpFill/>
                            <a:ln>
                              <a:noFill/>
                            </a:ln>
                          </wps:spPr>
                          <wps:bodyPr/>
                        </wps:wsp>
                        <wps:wsp>
                          <wps:cNvPr id="35" name="Freeform 161"/>
                          <wps:cNvSpPr>
                            <a:spLocks noEditPoints="1"/>
                          </wps:cNvSpPr>
                          <wps:spPr bwMode="auto">
                            <a:xfrm>
                              <a:off x="4703763" y="2274888"/>
                              <a:ext cx="142875" cy="158750"/>
                            </a:xfrm>
                            <a:custGeom>
                              <a:avLst/>
                              <a:gdLst>
                                <a:gd name="T0" fmla="*/ 30 w 34"/>
                                <a:gd name="T1" fmla="*/ 4 h 37"/>
                                <a:gd name="T2" fmla="*/ 30 w 34"/>
                                <a:gd name="T3" fmla="*/ 33 h 37"/>
                                <a:gd name="T4" fmla="*/ 4 w 34"/>
                                <a:gd name="T5" fmla="*/ 19 h 37"/>
                                <a:gd name="T6" fmla="*/ 30 w 34"/>
                                <a:gd name="T7" fmla="*/ 4 h 37"/>
                                <a:gd name="T8" fmla="*/ 30 w 34"/>
                                <a:gd name="T9" fmla="*/ 0 h 37"/>
                                <a:gd name="T10" fmla="*/ 28 w 34"/>
                                <a:gd name="T11" fmla="*/ 1 h 37"/>
                                <a:gd name="T12" fmla="*/ 2 w 34"/>
                                <a:gd name="T13" fmla="*/ 15 h 37"/>
                                <a:gd name="T14" fmla="*/ 0 w 34"/>
                                <a:gd name="T15" fmla="*/ 19 h 37"/>
                                <a:gd name="T16" fmla="*/ 2 w 34"/>
                                <a:gd name="T17" fmla="*/ 22 h 37"/>
                                <a:gd name="T18" fmla="*/ 28 w 34"/>
                                <a:gd name="T19" fmla="*/ 37 h 37"/>
                                <a:gd name="T20" fmla="*/ 30 w 34"/>
                                <a:gd name="T21" fmla="*/ 37 h 37"/>
                                <a:gd name="T22" fmla="*/ 32 w 34"/>
                                <a:gd name="T23" fmla="*/ 37 h 37"/>
                                <a:gd name="T24" fmla="*/ 34 w 34"/>
                                <a:gd name="T25" fmla="*/ 33 h 37"/>
                                <a:gd name="T26" fmla="*/ 34 w 34"/>
                                <a:gd name="T27" fmla="*/ 4 h 37"/>
                                <a:gd name="T28" fmla="*/ 32 w 34"/>
                                <a:gd name="T29" fmla="*/ 1 h 37"/>
                                <a:gd name="T30" fmla="*/ 30 w 34"/>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4" h="37">
                                  <a:moveTo>
                                    <a:pt x="30" y="4"/>
                                  </a:moveTo>
                                  <a:cubicBezTo>
                                    <a:pt x="30" y="33"/>
                                    <a:pt x="30" y="33"/>
                                    <a:pt x="30" y="33"/>
                                  </a:cubicBezTo>
                                  <a:cubicBezTo>
                                    <a:pt x="4" y="19"/>
                                    <a:pt x="4" y="19"/>
                                    <a:pt x="4" y="19"/>
                                  </a:cubicBezTo>
                                  <a:cubicBezTo>
                                    <a:pt x="30" y="4"/>
                                    <a:pt x="30" y="4"/>
                                    <a:pt x="30" y="4"/>
                                  </a:cubicBezTo>
                                  <a:moveTo>
                                    <a:pt x="30" y="0"/>
                                  </a:moveTo>
                                  <a:cubicBezTo>
                                    <a:pt x="29" y="0"/>
                                    <a:pt x="28" y="1"/>
                                    <a:pt x="28" y="1"/>
                                  </a:cubicBezTo>
                                  <a:cubicBezTo>
                                    <a:pt x="2" y="15"/>
                                    <a:pt x="2" y="15"/>
                                    <a:pt x="2" y="15"/>
                                  </a:cubicBezTo>
                                  <a:cubicBezTo>
                                    <a:pt x="1" y="16"/>
                                    <a:pt x="0" y="17"/>
                                    <a:pt x="0" y="19"/>
                                  </a:cubicBezTo>
                                  <a:cubicBezTo>
                                    <a:pt x="0" y="20"/>
                                    <a:pt x="1" y="22"/>
                                    <a:pt x="2" y="22"/>
                                  </a:cubicBezTo>
                                  <a:cubicBezTo>
                                    <a:pt x="28" y="37"/>
                                    <a:pt x="28" y="37"/>
                                    <a:pt x="28" y="37"/>
                                  </a:cubicBezTo>
                                  <a:cubicBezTo>
                                    <a:pt x="28" y="37"/>
                                    <a:pt x="29" y="37"/>
                                    <a:pt x="30" y="37"/>
                                  </a:cubicBezTo>
                                  <a:cubicBezTo>
                                    <a:pt x="30" y="37"/>
                                    <a:pt x="31" y="37"/>
                                    <a:pt x="32" y="37"/>
                                  </a:cubicBezTo>
                                  <a:cubicBezTo>
                                    <a:pt x="33" y="36"/>
                                    <a:pt x="34" y="35"/>
                                    <a:pt x="34" y="33"/>
                                  </a:cubicBezTo>
                                  <a:cubicBezTo>
                                    <a:pt x="34" y="4"/>
                                    <a:pt x="34" y="4"/>
                                    <a:pt x="34" y="4"/>
                                  </a:cubicBezTo>
                                  <a:cubicBezTo>
                                    <a:pt x="34" y="3"/>
                                    <a:pt x="33" y="2"/>
                                    <a:pt x="32" y="1"/>
                                  </a:cubicBezTo>
                                  <a:cubicBezTo>
                                    <a:pt x="31" y="1"/>
                                    <a:pt x="30" y="0"/>
                                    <a:pt x="30" y="0"/>
                                  </a:cubicBezTo>
                                  <a:close/>
                                </a:path>
                              </a:pathLst>
                            </a:custGeom>
                            <a:grpFill/>
                            <a:ln>
                              <a:noFill/>
                            </a:ln>
                          </wps:spPr>
                          <wps:bodyPr/>
                        </wps:wsp>
                        <wps:wsp>
                          <wps:cNvPr id="36" name="Freeform 162"/>
                          <wps:cNvSpPr>
                            <a:spLocks noEditPoints="1"/>
                          </wps:cNvSpPr>
                          <wps:spPr bwMode="auto">
                            <a:xfrm>
                              <a:off x="4533901"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8" y="0"/>
                                    <a:pt x="27" y="1"/>
                                    <a:pt x="27" y="1"/>
                                  </a:cubicBezTo>
                                  <a:cubicBezTo>
                                    <a:pt x="2" y="15"/>
                                    <a:pt x="2" y="15"/>
                                    <a:pt x="2" y="15"/>
                                  </a:cubicBezTo>
                                  <a:cubicBezTo>
                                    <a:pt x="0" y="16"/>
                                    <a:pt x="0" y="17"/>
                                    <a:pt x="0" y="19"/>
                                  </a:cubicBezTo>
                                  <a:cubicBezTo>
                                    <a:pt x="0" y="20"/>
                                    <a:pt x="0" y="22"/>
                                    <a:pt x="2" y="22"/>
                                  </a:cubicBezTo>
                                  <a:cubicBezTo>
                                    <a:pt x="27" y="37"/>
                                    <a:pt x="27" y="37"/>
                                    <a:pt x="27" y="37"/>
                                  </a:cubicBezTo>
                                  <a:cubicBezTo>
                                    <a:pt x="27" y="37"/>
                                    <a:pt x="28" y="37"/>
                                    <a:pt x="29" y="37"/>
                                  </a:cubicBezTo>
                                  <a:cubicBezTo>
                                    <a:pt x="29" y="37"/>
                                    <a:pt x="30" y="37"/>
                                    <a:pt x="31" y="37"/>
                                  </a:cubicBezTo>
                                  <a:cubicBezTo>
                                    <a:pt x="32" y="36"/>
                                    <a:pt x="33" y="35"/>
                                    <a:pt x="33" y="33"/>
                                  </a:cubicBezTo>
                                  <a:cubicBezTo>
                                    <a:pt x="33" y="4"/>
                                    <a:pt x="33" y="4"/>
                                    <a:pt x="33" y="4"/>
                                  </a:cubicBezTo>
                                  <a:cubicBezTo>
                                    <a:pt x="33" y="3"/>
                                    <a:pt x="32" y="2"/>
                                    <a:pt x="31" y="1"/>
                                  </a:cubicBezTo>
                                  <a:cubicBezTo>
                                    <a:pt x="30" y="1"/>
                                    <a:pt x="29" y="0"/>
                                    <a:pt x="29" y="0"/>
                                  </a:cubicBezTo>
                                  <a:close/>
                                </a:path>
                              </a:pathLst>
                            </a:custGeom>
                            <a:grpFill/>
                            <a:ln>
                              <a:noFill/>
                            </a:ln>
                          </wps:spPr>
                          <wps:bodyPr/>
                        </wps:wsp>
                        <wps:wsp>
                          <wps:cNvPr id="37" name="Freeform 163"/>
                          <wps:cNvSpPr>
                            <a:spLocks noEditPoints="1"/>
                          </wps:cNvSpPr>
                          <wps:spPr bwMode="auto">
                            <a:xfrm>
                              <a:off x="4359276"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8" y="0"/>
                                    <a:pt x="27" y="1"/>
                                    <a:pt x="27" y="1"/>
                                  </a:cubicBezTo>
                                  <a:cubicBezTo>
                                    <a:pt x="2" y="15"/>
                                    <a:pt x="2" y="15"/>
                                    <a:pt x="2" y="15"/>
                                  </a:cubicBezTo>
                                  <a:cubicBezTo>
                                    <a:pt x="1" y="16"/>
                                    <a:pt x="0" y="17"/>
                                    <a:pt x="0" y="19"/>
                                  </a:cubicBezTo>
                                  <a:cubicBezTo>
                                    <a:pt x="0" y="20"/>
                                    <a:pt x="1" y="22"/>
                                    <a:pt x="2" y="22"/>
                                  </a:cubicBezTo>
                                  <a:cubicBezTo>
                                    <a:pt x="27" y="37"/>
                                    <a:pt x="27" y="37"/>
                                    <a:pt x="27" y="37"/>
                                  </a:cubicBezTo>
                                  <a:cubicBezTo>
                                    <a:pt x="27" y="37"/>
                                    <a:pt x="28" y="37"/>
                                    <a:pt x="29" y="37"/>
                                  </a:cubicBezTo>
                                  <a:cubicBezTo>
                                    <a:pt x="30" y="37"/>
                                    <a:pt x="30" y="37"/>
                                    <a:pt x="31" y="37"/>
                                  </a:cubicBezTo>
                                  <a:cubicBezTo>
                                    <a:pt x="32" y="36"/>
                                    <a:pt x="33" y="35"/>
                                    <a:pt x="33" y="33"/>
                                  </a:cubicBezTo>
                                  <a:cubicBezTo>
                                    <a:pt x="33" y="4"/>
                                    <a:pt x="33" y="4"/>
                                    <a:pt x="33" y="4"/>
                                  </a:cubicBezTo>
                                  <a:cubicBezTo>
                                    <a:pt x="33" y="3"/>
                                    <a:pt x="32" y="2"/>
                                    <a:pt x="31" y="1"/>
                                  </a:cubicBezTo>
                                  <a:cubicBezTo>
                                    <a:pt x="30" y="1"/>
                                    <a:pt x="30" y="0"/>
                                    <a:pt x="29" y="0"/>
                                  </a:cubicBezTo>
                                  <a:close/>
                                </a:path>
                              </a:pathLst>
                            </a:custGeom>
                            <a:grpFill/>
                            <a:ln>
                              <a:noFill/>
                            </a:ln>
                          </wps:spPr>
                          <wps:bodyPr/>
                        </wps:wsp>
                        <wps:wsp>
                          <wps:cNvPr id="38" name="Freeform 164"/>
                          <wps:cNvSpPr>
                            <a:spLocks noEditPoints="1"/>
                          </wps:cNvSpPr>
                          <wps:spPr bwMode="auto">
                            <a:xfrm>
                              <a:off x="4186238"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8"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8" y="37"/>
                                    <a:pt x="29" y="37"/>
                                  </a:cubicBezTo>
                                  <a:cubicBezTo>
                                    <a:pt x="30" y="37"/>
                                    <a:pt x="30" y="37"/>
                                    <a:pt x="31" y="37"/>
                                  </a:cubicBezTo>
                                  <a:cubicBezTo>
                                    <a:pt x="32" y="36"/>
                                    <a:pt x="33" y="35"/>
                                    <a:pt x="33" y="33"/>
                                  </a:cubicBezTo>
                                  <a:cubicBezTo>
                                    <a:pt x="33" y="4"/>
                                    <a:pt x="33" y="4"/>
                                    <a:pt x="33" y="4"/>
                                  </a:cubicBezTo>
                                  <a:cubicBezTo>
                                    <a:pt x="33" y="3"/>
                                    <a:pt x="32" y="2"/>
                                    <a:pt x="31" y="1"/>
                                  </a:cubicBezTo>
                                  <a:cubicBezTo>
                                    <a:pt x="30" y="1"/>
                                    <a:pt x="30" y="0"/>
                                    <a:pt x="29" y="0"/>
                                  </a:cubicBezTo>
                                  <a:close/>
                                </a:path>
                              </a:pathLst>
                            </a:custGeom>
                            <a:grpFill/>
                            <a:ln>
                              <a:noFill/>
                            </a:ln>
                          </wps:spPr>
                          <wps:bodyPr/>
                        </wps:wsp>
                        <wps:wsp>
                          <wps:cNvPr id="39" name="Freeform 165"/>
                          <wps:cNvSpPr>
                            <a:spLocks noEditPoints="1"/>
                          </wps:cNvSpPr>
                          <wps:spPr bwMode="auto">
                            <a:xfrm>
                              <a:off x="4011613"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8"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8" y="37"/>
                                    <a:pt x="29" y="37"/>
                                  </a:cubicBezTo>
                                  <a:cubicBezTo>
                                    <a:pt x="30" y="37"/>
                                    <a:pt x="30" y="37"/>
                                    <a:pt x="31" y="37"/>
                                  </a:cubicBezTo>
                                  <a:cubicBezTo>
                                    <a:pt x="32" y="36"/>
                                    <a:pt x="33" y="35"/>
                                    <a:pt x="33" y="33"/>
                                  </a:cubicBezTo>
                                  <a:cubicBezTo>
                                    <a:pt x="33" y="4"/>
                                    <a:pt x="33" y="4"/>
                                    <a:pt x="33" y="4"/>
                                  </a:cubicBezTo>
                                  <a:cubicBezTo>
                                    <a:pt x="33" y="3"/>
                                    <a:pt x="32" y="2"/>
                                    <a:pt x="31" y="1"/>
                                  </a:cubicBezTo>
                                  <a:cubicBezTo>
                                    <a:pt x="30" y="1"/>
                                    <a:pt x="30" y="0"/>
                                    <a:pt x="29" y="0"/>
                                  </a:cubicBezTo>
                                  <a:close/>
                                </a:path>
                              </a:pathLst>
                            </a:custGeom>
                            <a:grpFill/>
                            <a:ln>
                              <a:noFill/>
                            </a:ln>
                          </wps:spPr>
                          <wps:bodyPr/>
                        </wps:wsp>
                        <wps:wsp>
                          <wps:cNvPr id="40" name="Freeform 166"/>
                          <wps:cNvSpPr>
                            <a:spLocks noEditPoints="1"/>
                          </wps:cNvSpPr>
                          <wps:spPr bwMode="auto">
                            <a:xfrm>
                              <a:off x="3838576"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9"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9" y="37"/>
                                    <a:pt x="29" y="37"/>
                                  </a:cubicBezTo>
                                  <a:cubicBezTo>
                                    <a:pt x="30" y="37"/>
                                    <a:pt x="31" y="37"/>
                                    <a:pt x="31" y="37"/>
                                  </a:cubicBezTo>
                                  <a:cubicBezTo>
                                    <a:pt x="32" y="36"/>
                                    <a:pt x="33" y="35"/>
                                    <a:pt x="33" y="33"/>
                                  </a:cubicBezTo>
                                  <a:cubicBezTo>
                                    <a:pt x="33" y="4"/>
                                    <a:pt x="33" y="4"/>
                                    <a:pt x="33" y="4"/>
                                  </a:cubicBezTo>
                                  <a:cubicBezTo>
                                    <a:pt x="33" y="3"/>
                                    <a:pt x="32" y="2"/>
                                    <a:pt x="31" y="1"/>
                                  </a:cubicBezTo>
                                  <a:cubicBezTo>
                                    <a:pt x="31" y="1"/>
                                    <a:pt x="30" y="0"/>
                                    <a:pt x="29" y="0"/>
                                  </a:cubicBezTo>
                                  <a:close/>
                                </a:path>
                              </a:pathLst>
                            </a:custGeom>
                            <a:grpFill/>
                            <a:ln>
                              <a:noFill/>
                            </a:ln>
                          </wps:spPr>
                          <wps:bodyPr/>
                        </wps:wsp>
                        <wps:wsp>
                          <wps:cNvPr id="41" name="Freeform 167"/>
                          <wps:cNvSpPr/>
                          <wps:spPr bwMode="auto">
                            <a:xfrm>
                              <a:off x="3354388" y="2355850"/>
                              <a:ext cx="461963" cy="2095500"/>
                            </a:xfrm>
                            <a:custGeom>
                              <a:avLst/>
                              <a:gdLst>
                                <a:gd name="T0" fmla="*/ 21 w 291"/>
                                <a:gd name="T1" fmla="*/ 22 h 1320"/>
                                <a:gd name="T2" fmla="*/ 275 w 291"/>
                                <a:gd name="T3" fmla="*/ 22 h 1320"/>
                                <a:gd name="T4" fmla="*/ 275 w 291"/>
                                <a:gd name="T5" fmla="*/ 0 h 1320"/>
                                <a:gd name="T6" fmla="*/ 0 w 291"/>
                                <a:gd name="T7" fmla="*/ 0 h 1320"/>
                                <a:gd name="T8" fmla="*/ 0 w 291"/>
                                <a:gd name="T9" fmla="*/ 1320 h 1320"/>
                                <a:gd name="T10" fmla="*/ 291 w 291"/>
                                <a:gd name="T11" fmla="*/ 1320 h 1320"/>
                                <a:gd name="T12" fmla="*/ 291 w 291"/>
                                <a:gd name="T13" fmla="*/ 1298 h 1320"/>
                                <a:gd name="T14" fmla="*/ 21 w 291"/>
                                <a:gd name="T15" fmla="*/ 1298 h 1320"/>
                                <a:gd name="T16" fmla="*/ 21 w 291"/>
                                <a:gd name="T17" fmla="*/ 22 h 13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91" h="1320">
                                  <a:moveTo>
                                    <a:pt x="21" y="22"/>
                                  </a:moveTo>
                                  <a:lnTo>
                                    <a:pt x="275" y="22"/>
                                  </a:lnTo>
                                  <a:lnTo>
                                    <a:pt x="275" y="0"/>
                                  </a:lnTo>
                                  <a:lnTo>
                                    <a:pt x="0" y="0"/>
                                  </a:lnTo>
                                  <a:lnTo>
                                    <a:pt x="0" y="1320"/>
                                  </a:lnTo>
                                  <a:lnTo>
                                    <a:pt x="291" y="1320"/>
                                  </a:lnTo>
                                  <a:lnTo>
                                    <a:pt x="291" y="1298"/>
                                  </a:lnTo>
                                  <a:lnTo>
                                    <a:pt x="21" y="1298"/>
                                  </a:lnTo>
                                  <a:lnTo>
                                    <a:pt x="21" y="22"/>
                                  </a:lnTo>
                                  <a:close/>
                                </a:path>
                              </a:pathLst>
                            </a:custGeom>
                            <a:grpFill/>
                            <a:ln>
                              <a:noFill/>
                            </a:ln>
                          </wps:spPr>
                          <wps:bodyPr/>
                        </wps:wsp>
                        <wps:wsp>
                          <wps:cNvPr id="42" name="Freeform 168"/>
                          <wps:cNvSpPr/>
                          <wps:spPr bwMode="auto">
                            <a:xfrm>
                              <a:off x="5407026" y="2355850"/>
                              <a:ext cx="3298825" cy="285750"/>
                            </a:xfrm>
                            <a:custGeom>
                              <a:avLst/>
                              <a:gdLst>
                                <a:gd name="T0" fmla="*/ 2078 w 2078"/>
                                <a:gd name="T1" fmla="*/ 0 h 180"/>
                                <a:gd name="T2" fmla="*/ 0 w 2078"/>
                                <a:gd name="T3" fmla="*/ 0 h 180"/>
                                <a:gd name="T4" fmla="*/ 0 w 2078"/>
                                <a:gd name="T5" fmla="*/ 22 h 180"/>
                                <a:gd name="T6" fmla="*/ 2057 w 2078"/>
                                <a:gd name="T7" fmla="*/ 22 h 180"/>
                                <a:gd name="T8" fmla="*/ 2057 w 2078"/>
                                <a:gd name="T9" fmla="*/ 180 h 180"/>
                                <a:gd name="T10" fmla="*/ 2078 w 2078"/>
                                <a:gd name="T11" fmla="*/ 180 h 180"/>
                                <a:gd name="T12" fmla="*/ 2078 w 2078"/>
                                <a:gd name="T13" fmla="*/ 0 h 180"/>
                              </a:gdLst>
                              <a:ahLst/>
                              <a:cxnLst>
                                <a:cxn ang="0">
                                  <a:pos x="T0" y="T1"/>
                                </a:cxn>
                                <a:cxn ang="0">
                                  <a:pos x="T2" y="T3"/>
                                </a:cxn>
                                <a:cxn ang="0">
                                  <a:pos x="T4" y="T5"/>
                                </a:cxn>
                                <a:cxn ang="0">
                                  <a:pos x="T6" y="T7"/>
                                </a:cxn>
                                <a:cxn ang="0">
                                  <a:pos x="T8" y="T9"/>
                                </a:cxn>
                                <a:cxn ang="0">
                                  <a:pos x="T10" y="T11"/>
                                </a:cxn>
                                <a:cxn ang="0">
                                  <a:pos x="T12" y="T13"/>
                                </a:cxn>
                              </a:cxnLst>
                              <a:rect l="0" t="0" r="r" b="b"/>
                              <a:pathLst>
                                <a:path w="2078" h="180">
                                  <a:moveTo>
                                    <a:pt x="2078" y="0"/>
                                  </a:moveTo>
                                  <a:lnTo>
                                    <a:pt x="0" y="0"/>
                                  </a:lnTo>
                                  <a:lnTo>
                                    <a:pt x="0" y="22"/>
                                  </a:lnTo>
                                  <a:lnTo>
                                    <a:pt x="2057" y="22"/>
                                  </a:lnTo>
                                  <a:lnTo>
                                    <a:pt x="2057" y="180"/>
                                  </a:lnTo>
                                  <a:lnTo>
                                    <a:pt x="2078" y="180"/>
                                  </a:lnTo>
                                  <a:lnTo>
                                    <a:pt x="2078" y="0"/>
                                  </a:lnTo>
                                  <a:close/>
                                </a:path>
                              </a:pathLst>
                            </a:custGeom>
                            <a:grpFill/>
                            <a:ln>
                              <a:noFill/>
                            </a:ln>
                          </wps:spPr>
                          <wps:bodyPr/>
                        </wps:wsp>
                        <wps:wsp>
                          <wps:cNvPr id="43" name="Freeform 169"/>
                          <wps:cNvSpPr/>
                          <wps:spPr bwMode="auto">
                            <a:xfrm>
                              <a:off x="4105276" y="2927350"/>
                              <a:ext cx="4600575" cy="1524000"/>
                            </a:xfrm>
                            <a:custGeom>
                              <a:avLst/>
                              <a:gdLst>
                                <a:gd name="T0" fmla="*/ 2877 w 2898"/>
                                <a:gd name="T1" fmla="*/ 938 h 960"/>
                                <a:gd name="T2" fmla="*/ 0 w 2898"/>
                                <a:gd name="T3" fmla="*/ 938 h 960"/>
                                <a:gd name="T4" fmla="*/ 0 w 2898"/>
                                <a:gd name="T5" fmla="*/ 960 h 960"/>
                                <a:gd name="T6" fmla="*/ 2898 w 2898"/>
                                <a:gd name="T7" fmla="*/ 960 h 960"/>
                                <a:gd name="T8" fmla="*/ 2898 w 2898"/>
                                <a:gd name="T9" fmla="*/ 0 h 960"/>
                                <a:gd name="T10" fmla="*/ 2877 w 2898"/>
                                <a:gd name="T11" fmla="*/ 0 h 960"/>
                                <a:gd name="T12" fmla="*/ 2877 w 2898"/>
                                <a:gd name="T13" fmla="*/ 938 h 960"/>
                              </a:gdLst>
                              <a:ahLst/>
                              <a:cxnLst>
                                <a:cxn ang="0">
                                  <a:pos x="T0" y="T1"/>
                                </a:cxn>
                                <a:cxn ang="0">
                                  <a:pos x="T2" y="T3"/>
                                </a:cxn>
                                <a:cxn ang="0">
                                  <a:pos x="T4" y="T5"/>
                                </a:cxn>
                                <a:cxn ang="0">
                                  <a:pos x="T6" y="T7"/>
                                </a:cxn>
                                <a:cxn ang="0">
                                  <a:pos x="T8" y="T9"/>
                                </a:cxn>
                                <a:cxn ang="0">
                                  <a:pos x="T10" y="T11"/>
                                </a:cxn>
                                <a:cxn ang="0">
                                  <a:pos x="T12" y="T13"/>
                                </a:cxn>
                              </a:cxnLst>
                              <a:rect l="0" t="0" r="r" b="b"/>
                              <a:pathLst>
                                <a:path w="2898" h="960">
                                  <a:moveTo>
                                    <a:pt x="2877" y="938"/>
                                  </a:moveTo>
                                  <a:lnTo>
                                    <a:pt x="0" y="938"/>
                                  </a:lnTo>
                                  <a:lnTo>
                                    <a:pt x="0" y="960"/>
                                  </a:lnTo>
                                  <a:lnTo>
                                    <a:pt x="2898" y="960"/>
                                  </a:lnTo>
                                  <a:lnTo>
                                    <a:pt x="2898" y="0"/>
                                  </a:lnTo>
                                  <a:lnTo>
                                    <a:pt x="2877" y="0"/>
                                  </a:lnTo>
                                  <a:lnTo>
                                    <a:pt x="2877" y="938"/>
                                  </a:lnTo>
                                  <a:close/>
                                </a:path>
                              </a:pathLst>
                            </a:custGeom>
                            <a:gradFill>
                              <a:gsLst>
                                <a:gs pos="0">
                                  <a:srgbClr val="4B62D6"/>
                                </a:gs>
                                <a:gs pos="100000">
                                  <a:srgbClr val="00B0F0"/>
                                </a:gs>
                              </a:gsLst>
                              <a:lin ang="11400000" scaled="0"/>
                            </a:gradFill>
                            <a:ln>
                              <a:noFill/>
                            </a:ln>
                          </wps:spPr>
                          <wps:bodyPr/>
                        </wps:wsp>
                      </wpg:grpSp>
                      <wps:wsp>
                        <wps:cNvPr id="44" name="文本框 6"/>
                        <wps:cNvSpPr txBox="1"/>
                        <wps:spPr>
                          <a:xfrm>
                            <a:off x="5882" y="1862"/>
                            <a:ext cx="7907" cy="4144"/>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kinsoku/>
                                <w:spacing w:line="240" w:lineRule="auto"/>
                                <w:ind w:left="0" w:leftChars="0" w:firstLine="361" w:firstLineChars="100"/>
                                <w:jc w:val="both"/>
                                <w:textAlignment w:val="top"/>
                                <w:rPr>
                                  <w:rFonts w:hint="eastAsia" w:ascii="楷体" w:hAnsi="楷体" w:eastAsia="楷体" w:cs="楷体"/>
                                  <w:b/>
                                  <w:bCs/>
                                  <w:sz w:val="32"/>
                                  <w:szCs w:val="32"/>
                                </w:rPr>
                              </w:pPr>
                              <w:r>
                                <w:rPr>
                                  <w:rFonts w:hint="eastAsia" w:ascii="楷体" w:hAnsi="楷体" w:eastAsia="楷体" w:cs="楷体"/>
                                  <w:b/>
                                  <w:bCs/>
                                  <w:color w:val="3669D7"/>
                                  <w:kern w:val="24"/>
                                  <w:sz w:val="36"/>
                                  <w:szCs w:val="36"/>
                                  <w:lang w:eastAsia="zh-CN"/>
                                </w:rPr>
                                <w:t>国内新闻</w:t>
                              </w:r>
                            </w:p>
                          </w:txbxContent>
                        </wps:txbx>
                        <wps:bodyPr rot="0" spcFirstLastPara="0" vertOverflow="overflow" horzOverflow="overflow" vert="horz" wrap="square" lIns="91440" tIns="45720" rIns="91440" bIns="45720" numCol="1" spcCol="0" rtlCol="0" fromWordArt="0" anchor="t" anchorCtr="0" forceAA="0" upright="1" compatLnSpc="1">
                          <a:noAutofit/>
                        </wps:bodyPr>
                      </wps:wsp>
                    </wpg:wgp>
                  </a:graphicData>
                </a:graphic>
              </wp:anchor>
            </w:drawing>
          </mc:Choice>
          <mc:Fallback>
            <w:pict>
              <v:group id="_x0000_s1026" o:spid="_x0000_s1026" o:spt="203" alt="7b0a202020202274657874626f78223a20227b5c2269645c223a32303334333734372c5c2263617465676f72795f69645c223a5c225c227d220a7d0a" style="position:absolute;left:0pt;margin-left:-5.1pt;margin-top:5.8pt;height:49.4pt;width:115.7pt;z-index:251661312;mso-width-relative:page;mso-height-relative:page;" coordorigin="5718,1723" coordsize="8436,4283" o:gfxdata="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">
                <o:lock v:ext="edit" aspectratio="f"/>
                <v:group id="组合 1173" o:spid="_x0000_s1026" o:spt="203" style="position:absolute;left:5718;top:1723;height:3539;width:8436;" coordorigin="3354388,2274888" coordsize="5478463,2298700" o:gfxdata="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whRXrroAAADbAAAADwAAAAAAAAABACAAAAAiAAAAZHJzL2Rvd25yZXYueG1sUEsB&#10;AhQAFAAAAAgAh07iQDMvBZ47AAAAOQAAABUAAAAAAAAAAQAgAAAACQEAAGRycy9ncm91cHNoYXBl&#10;eG1sLnhtbFBLBQYAAAAABgAGAGABAADGAwAAAAA=&#10;">
                  <o:lock v:ext="edit" aspectratio="f"/>
                  <v:shape id="Freeform 155" o:spid="_x0000_s1026" o:spt="100" style="position:absolute;left:4019551;top:4378325;height:101600;width:103188;" filled="t" stroked="f" coordsize="24,24" o:gfxdata="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BcVIi8AAAA&#10;2wAAAA8AAAAAAAAAAQAgAAAAIgAAAGRycy9kb3ducmV2LnhtbFBLAQIUABQAAAAIAIdO4kAzLwWe&#10;OwAAADkAAAAQAAAAAAAAAAEAIAAAAAsBAABkcnMvc2hhcGV4bWwueG1sUEsFBgAAAAAGAAYAWwEA&#10;ALUDAAAAAA==&#10;" path="m12,24c5,24,0,19,0,12c0,6,5,0,12,0c19,0,24,6,24,12c24,19,19,24,12,24xm12,5c8,5,4,8,4,12c4,16,8,20,12,20c16,20,19,16,19,12c19,8,16,5,12,5xe">
                    <v:path o:connectlocs="51594,101600;0,50800;51594,0;103188,50800;51594,101600;51594,21166;17198,50800;51594,84666;81690,50800;51594,21166" o:connectangles="0,0,0,0,0,0,0,0,0,0"/>
                    <v:fill on="t" focussize="0,0"/>
                    <v:stroke on="f"/>
                    <v:imagedata o:title=""/>
                    <o:lock v:ext="edit" aspectratio="f"/>
                  </v:shape>
                  <v:shape id="Freeform 156" o:spid="_x0000_s1026" o:spt="100" style="position:absolute;left:8637588;top:2628900;height:106363;width:106363;" filled="t" stroked="f" coordsize="25,25" o:gfxdata="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iv8vfvQAA&#10;ANsAAAAPAAAAAAAAAAEAIAAAACIAAABkcnMvZG93bnJldi54bWxQSwECFAAUAAAACACHTuJAMy8F&#10;njsAAAA5AAAAEAAAAAAAAAABACAAAAAMAQAAZHJzL3NoYXBleG1sLnhtbFBLBQYAAAAABgAGAFsB&#10;AAC2AwAAAAA=&#10;" path="m13,25c6,25,0,19,0,12c0,6,6,0,13,0c19,0,25,6,25,12c25,19,19,25,13,25xm13,5c8,5,5,8,5,12c5,17,8,20,13,20c17,20,20,17,20,12c20,8,17,5,13,5xe">
                    <v:path o:connectlocs="55308,106363;0,51054;55308,0;106363,51054;55308,106363;55308,21272;21272,51054;55308,85090;85090,51054;55308,21272" o:connectangles="0,0,0,0,0,0,0,0,0,0"/>
                    <v:fill on="t" focussize="0,0"/>
                    <v:stroke on="f"/>
                    <v:imagedata o:title=""/>
                    <o:lock v:ext="edit" aspectratio="f"/>
                  </v:shape>
                  <v:shape id="Freeform 157" o:spid="_x0000_s1026" o:spt="100" style="position:absolute;left:3481388;top:2479675;height:2093913;width:5351463;" filled="t" stroked="f" coordsize="3371,1319" o:gfxdata="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L4BlmvQAA&#10;ANsAAAAPAAAAAAAAAAEAIAAAACIAAABkcnMvZG93bnJldi54bWxQSwECFAAUAAAACACHTuJAMy8F&#10;njsAAAA5AAAAEAAAAAAAAAABACAAAAAMAQAAZHJzL3NoYXBleG1sLnhtbFBLBQYAAAAABgAGAFsB&#10;AAC2AwAAAAA=&#10;" path="m3371,1319l0,1319,0,0,3371,0,3371,1319xm22,1298l3350,1298,3350,22,22,22,22,1298xe">
                    <v:path o:connectlocs="5351463,2093913;0,2093913;0,0;5351463,0;5351463,2093913;34925,2060575;5318125,2060575;5318125,34925;34925,34925;34925,2060575" o:connectangles="0,0,0,0,0,0,0,0,0,0"/>
                    <v:fill on="t" focussize="0,0"/>
                    <v:stroke on="f"/>
                    <v:imagedata o:title=""/>
                    <o:lock v:ext="edit" aspectratio="f"/>
                  </v:shape>
                  <v:shape id="Freeform 158" o:spid="_x0000_s1026" o:spt="100" style="position:absolute;left:5224463;top:2274888;height:158750;width:139700;" filled="t" stroked="f" coordsize="33,37" o:gfxdata="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YPtV74A&#10;AADbAAAADwAAAAAAAAABACAAAAAiAAAAZHJzL2Rvd25yZXYueG1sUEsBAhQAFAAAAAgAh07iQDMv&#10;BZ47AAAAOQAAABAAAAAAAAAAAQAgAAAADQEAAGRycy9zaGFwZXhtbC54bWxQSwUGAAAAAAYABgBb&#10;AQAAtwMAAAAA&#10;" path="m29,4c29,33,29,33,29,33c4,19,4,19,4,19c29,4,29,4,29,4m29,0c28,0,28,1,27,1c2,15,2,15,2,15c1,16,0,17,0,19c0,20,1,22,2,22c27,37,27,37,27,37c28,37,28,37,29,37c30,37,30,37,31,37c32,36,33,35,33,33c33,4,33,4,33,4c33,3,32,2,31,1c30,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59" o:spid="_x0000_s1026" o:spt="100" style="position:absolute;left:5051426;top:2274888;height:158750;width:139700;" filled="t" stroked="f" coordsize="33,37" o:gfxdata="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bPSMy/&#10;AAAA2wAAAA8AAAAAAAAAAQAgAAAAIgAAAGRycy9kb3ducmV2LnhtbFBLAQIUABQAAAAIAIdO4kAz&#10;LwWeOwAAADkAAAAQAAAAAAAAAAEAIAAAAA4BAABkcnMvc2hhcGV4bWwueG1sUEsFBgAAAAAGAAYA&#10;WwEAALgDAAAAAA==&#10;" path="m29,4c29,33,29,33,29,33c4,19,4,19,4,19c29,4,29,4,29,4m29,0c29,0,28,1,27,1c2,15,2,15,2,15c1,16,0,17,0,19c0,20,1,22,2,22c27,37,27,37,27,37c28,37,29,37,29,37c30,37,31,37,31,37c32,36,33,35,33,33c33,4,33,4,33,4c33,3,32,2,31,1c31,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0" o:spid="_x0000_s1026" o:spt="100" style="position:absolute;left:4876801;top:2274888;height:158750;width:139700;" filled="t" stroked="f" coordsize="33,37" o:gfxdata="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JJtC4&#10;wAAAANsAAAAPAAAAAAAAAAEAIAAAACIAAABkcnMvZG93bnJldi54bWxQSwECFAAUAAAACACHTuJA&#10;My8FnjsAAAA5AAAAEAAAAAAAAAABACAAAAAPAQAAZHJzL3NoYXBleG1sLnhtbFBLBQYAAAAABgAG&#10;AFsBAAC5AwAAAAA=&#10;" path="m29,4c29,33,29,33,29,33c4,19,4,19,4,19c29,4,29,4,29,4m29,0c29,0,28,1,27,1c2,15,2,15,2,15c1,16,0,17,0,19c0,20,1,22,2,22c27,37,27,37,27,37c28,37,29,37,29,37c30,37,31,37,31,37c33,36,33,35,33,33c33,4,33,4,33,4c33,3,33,2,31,1c31,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1" o:spid="_x0000_s1026" o:spt="100" style="position:absolute;left:4703763;top:2274888;height:158750;width:142875;" filled="t" stroked="f" coordsize="34,37" o:gfxdata="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6xTm+vQAA&#10;ANsAAAAPAAAAAAAAAAEAIAAAACIAAABkcnMvZG93bnJldi54bWxQSwECFAAUAAAACACHTuJAMy8F&#10;njsAAAA5AAAAEAAAAAAAAAABACAAAAAMAQAAZHJzL3NoYXBleG1sLnhtbFBLBQYAAAAABgAGAFsB&#10;AAC2AwAAAAA=&#10;" path="m30,4c30,33,30,33,30,33c4,19,4,19,4,19c30,4,30,4,30,4m30,0c29,0,28,1,28,1c2,15,2,15,2,15c1,16,0,17,0,19c0,20,1,22,2,22c28,37,28,37,28,37c28,37,29,37,30,37c30,37,31,37,32,37c33,36,34,35,34,33c34,4,34,4,34,4c34,3,33,2,32,1c31,1,30,0,30,0xe">
                    <v:path o:connectlocs="126066,17162;126066,141587;16808,81520;126066,17162;126066,0;117661,4290;8404,64358;0,81520;8404,94391;117661,158750;126066,158750;134470,158750;142875,141587;142875,17162;134470,4290;126066,0" o:connectangles="0,0,0,0,0,0,0,0,0,0,0,0,0,0,0,0"/>
                    <v:fill on="t" focussize="0,0"/>
                    <v:stroke on="f"/>
                    <v:imagedata o:title=""/>
                    <o:lock v:ext="edit" aspectratio="f"/>
                  </v:shape>
                  <v:shape id="Freeform 162" o:spid="_x0000_s1026" o:spt="100" style="position:absolute;left:4533901;top:2274888;height:158750;width:139700;" filled="t" stroked="f" coordsize="33,37" o:gfxdata="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a461S/&#10;AAAA2wAAAA8AAAAAAAAAAQAgAAAAIgAAAGRycy9kb3ducmV2LnhtbFBLAQIUABQAAAAIAIdO4kAz&#10;LwWeOwAAADkAAAAQAAAAAAAAAAEAIAAAAA4BAABkcnMvc2hhcGV4bWwueG1sUEsFBgAAAAAGAAYA&#10;WwEAALgDAAAAAA==&#10;" path="m29,4c29,33,29,33,29,33c4,19,4,19,4,19c29,4,29,4,29,4m29,0c28,0,27,1,27,1c2,15,2,15,2,15c0,16,0,17,0,19c0,20,0,22,2,22c27,37,27,37,27,37c27,37,28,37,29,37c29,37,30,37,31,37c32,36,33,35,33,33c33,4,33,4,33,4c33,3,32,2,31,1c30,1,29,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3" o:spid="_x0000_s1026" o:spt="100" style="position:absolute;left:4359276;top:2274888;height:158750;width:139700;" filled="t" stroked="f" coordsize="33,37" o:gfxdata="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n0Ts+/&#10;AAAA2wAAAA8AAAAAAAAAAQAgAAAAIgAAAGRycy9kb3ducmV2LnhtbFBLAQIUABQAAAAIAIdO4kAz&#10;LwWeOwAAADkAAAAQAAAAAAAAAAEAIAAAAA4BAABkcnMvc2hhcGV4bWwueG1sUEsFBgAAAAAGAAYA&#10;WwEAALgDAAAAAA==&#10;" path="m29,4c29,33,29,33,29,33c4,19,4,19,4,19c29,4,29,4,29,4m29,0c28,0,27,1,27,1c2,15,2,15,2,15c1,16,0,17,0,19c0,20,1,22,2,22c27,37,27,37,27,37c27,37,28,37,29,37c30,37,30,37,31,37c32,36,33,35,33,33c33,4,33,4,33,4c33,3,32,2,31,1c30,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4" o:spid="_x0000_s1026" o:spt="100" style="position:absolute;left:4186238;top:2274888;height:158750;width:139700;" filled="t" stroked="f" coordsize="33,37" o:gfxdata="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Ia9q9vQAA&#10;ANsAAAAPAAAAAAAAAAEAIAAAACIAAABkcnMvZG93bnJldi54bWxQSwECFAAUAAAACACHTuJAMy8F&#10;njsAAAA5AAAAEAAAAAAAAAABACAAAAAMAQAAZHJzL3NoYXBleG1sLnhtbFBLBQYAAAAABgAGAFsB&#10;AAC2AwAAAAA=&#10;" path="m29,4c29,33,29,33,29,33c4,19,4,19,4,19c29,4,29,4,29,4m29,0c28,0,28,1,27,1c2,15,2,15,2,15c1,16,0,17,0,19c0,20,1,22,2,22c27,37,27,37,27,37c28,37,28,37,29,37c30,37,30,37,31,37c32,36,33,35,33,33c33,4,33,4,33,4c33,3,32,2,31,1c30,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5" o:spid="_x0000_s1026" o:spt="100" style="position:absolute;left:4011613;top:2274888;height:158750;width:139700;" filled="t" stroked="f" coordsize="33,37" o:gfxdata="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cnfya/&#10;AAAA2wAAAA8AAAAAAAAAAQAgAAAAIgAAAGRycy9kb3ducmV2LnhtbFBLAQIUABQAAAAIAIdO4kAz&#10;LwWeOwAAADkAAAAQAAAAAAAAAAEAIAAAAA4BAABkcnMvc2hhcGV4bWwueG1sUEsFBgAAAAAGAAYA&#10;WwEAALgDAAAAAA==&#10;" path="m29,4c29,33,29,33,29,33c4,19,4,19,4,19c29,4,29,4,29,4m29,0c28,0,28,1,27,1c2,15,2,15,2,15c1,16,0,17,0,19c0,20,1,22,2,22c27,37,27,37,27,37c28,37,28,37,29,37c30,37,30,37,31,37c32,36,33,35,33,33c33,4,33,4,33,4c33,3,32,2,31,1c30,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6" o:spid="_x0000_s1026" o:spt="100" style="position:absolute;left:3838576;top:2274888;height:158750;width:139700;" filled="t" stroked="f" coordsize="33,37" o:gfxdata="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hulxrsAAADb&#10;AAAADwAAAAAAAAABACAAAAAiAAAAZHJzL2Rvd25yZXYueG1sUEsBAhQAFAAAAAgAh07iQDMvBZ47&#10;AAAAOQAAABAAAAAAAAAAAQAgAAAACgEAAGRycy9zaGFwZXhtbC54bWxQSwUGAAAAAAYABgBbAQAA&#10;tAMAAAAA&#10;" path="m29,4c29,33,29,33,29,33c4,19,4,19,4,19c29,4,29,4,29,4m29,0c29,0,28,1,27,1c2,15,2,15,2,15c1,16,0,17,0,19c0,20,1,22,2,22c27,37,27,37,27,37c28,37,29,37,29,37c30,37,31,37,31,37c32,36,33,35,33,33c33,4,33,4,33,4c33,3,32,2,31,1c31,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7" o:spid="_x0000_s1026" o:spt="100" style="position:absolute;left:3354388;top:2355850;height:2095500;width:461963;" filled="t" stroked="f" coordsize="291,1320" o:gfxdata="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ctF5zvQAA&#10;ANsAAAAPAAAAAAAAAAEAIAAAACIAAABkcnMvZG93bnJldi54bWxQSwECFAAUAAAACACHTuJAMy8F&#10;njsAAAA5AAAAEAAAAAAAAAABACAAAAAMAQAAZHJzL3NoYXBleG1sLnhtbFBLBQYAAAAABgAGAFsB&#10;AAC2AwAAAAA=&#10;" path="m21,22l275,22,275,0,0,0,0,1320,291,1320,291,1298,21,1298,21,22xe">
                    <v:path o:connectlocs="33337,34925;436562,34925;436562,0;0,0;0,2095500;461963,2095500;461963,2060575;33337,2060575;33337,34925" o:connectangles="0,0,0,0,0,0,0,0,0"/>
                    <v:fill on="t" focussize="0,0"/>
                    <v:stroke on="f"/>
                    <v:imagedata o:title=""/>
                    <o:lock v:ext="edit" aspectratio="f"/>
                  </v:shape>
                  <v:shape id="Freeform 168" o:spid="_x0000_s1026" o:spt="100" style="position:absolute;left:5407026;top:2355850;height:285750;width:3298825;" filled="t" stroked="f" coordsize="2078,180" o:gfxdata="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T5DsgvQAA&#10;ANsAAAAPAAAAAAAAAAEAIAAAACIAAABkcnMvZG93bnJldi54bWxQSwECFAAUAAAACACHTuJAMy8F&#10;njsAAAA5AAAAEAAAAAAAAAABACAAAAAMAQAAZHJzL3NoYXBleG1sLnhtbFBLBQYAAAAABgAGAFsB&#10;AAC2AwAAAAA=&#10;" path="m2078,0l0,0,0,22,2057,22,2057,180,2078,180,2078,0xe">
                    <v:path o:connectlocs="3298825,0;0,0;0,34925;3265487,34925;3265487,285750;3298825,285750;3298825,0" o:connectangles="0,0,0,0,0,0,0"/>
                    <v:fill on="t" focussize="0,0"/>
                    <v:stroke on="f"/>
                    <v:imagedata o:title=""/>
                    <o:lock v:ext="edit" aspectratio="f"/>
                  </v:shape>
                  <v:shape id="Freeform 169" o:spid="_x0000_s1026" o:spt="100" style="position:absolute;left:4105276;top:2927350;height:1524000;width:4600575;" fillcolor="#4B62D6" filled="t" stroked="f" coordsize="2898,960" o:gfxdata="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eWOuL4A&#10;AADbAAAADwAAAAAAAAABACAAAAAiAAAAZHJzL2Rvd25yZXYueG1sUEsBAhQAFAAAAAgAh07iQDMv&#10;BZ47AAAAOQAAABAAAAAAAAAAAQAgAAAADQEAAGRycy9zaGFwZXhtbC54bWxQSwUGAAAAAAYABgBb&#10;AQAAtwMAAAAA&#10;" path="m2877,938l0,938,0,960,2898,960,2898,0,2877,0,2877,938xe">
                    <v:path o:connectlocs="4567237,1489075;0,1489075;0,1524000;4600575,1524000;4600575,0;4567237,0;4567237,1489075" o:connectangles="0,0,0,0,0,0,0"/>
                    <v:fill type="gradient" on="t" color2="#00B0F0" angle="260" focus="100%" focussize="0,0" rotate="t">
                      <o:fill type="gradientUnscaled" v:ext="backwardCompatible"/>
                    </v:fill>
                    <v:stroke on="f"/>
                    <v:imagedata o:title=""/>
                    <o:lock v:ext="edit" aspectratio="f"/>
                  </v:shape>
                </v:group>
                <v:shape id="文本框 6" o:spid="_x0000_s1026" o:spt="202" type="#_x0000_t202" style="position:absolute;left:5882;top:1862;height:4144;width:7907;" filled="f" stroked="f" coordsize="21600,21600" o:gfxdata="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nrGCevQAA&#10;ANsAAAAPAAAAAAAAAAEAIAAAACIAAABkcnMvZG93bnJldi54bWxQSwECFAAUAAAACACHTuJAMy8F&#10;njsAAAA5AAAAEAAAAAAAAAABACAAAAAMAQAAZHJzL3NoYXBleG1sLnhtbFBLBQYAAAAABgAGAFsB&#10;AAC2AwAAAAA=&#10;">
                  <v:fill on="f" focussize="0,0"/>
                  <v:stroke on="f" weight="0.5pt"/>
                  <v:imagedata o:title=""/>
                  <o:lock v:ext="edit" aspectratio="f"/>
                  <v:textbox>
                    <w:txbxContent>
                      <w:p>
                        <w:pPr>
                          <w:pStyle w:val="17"/>
                          <w:kinsoku/>
                          <w:spacing w:line="240" w:lineRule="auto"/>
                          <w:ind w:left="0" w:leftChars="0" w:firstLine="361" w:firstLineChars="100"/>
                          <w:jc w:val="both"/>
                          <w:textAlignment w:val="top"/>
                          <w:rPr>
                            <w:rFonts w:hint="eastAsia" w:ascii="楷体" w:hAnsi="楷体" w:eastAsia="楷体" w:cs="楷体"/>
                            <w:b/>
                            <w:bCs/>
                            <w:sz w:val="32"/>
                            <w:szCs w:val="32"/>
                          </w:rPr>
                        </w:pPr>
                        <w:r>
                          <w:rPr>
                            <w:rFonts w:hint="eastAsia" w:ascii="楷体" w:hAnsi="楷体" w:eastAsia="楷体" w:cs="楷体"/>
                            <w:b/>
                            <w:bCs/>
                            <w:color w:val="3669D7"/>
                            <w:kern w:val="24"/>
                            <w:sz w:val="36"/>
                            <w:szCs w:val="36"/>
                            <w:lang w:eastAsia="zh-CN"/>
                          </w:rPr>
                          <w:t>国内新闻</w:t>
                        </w:r>
                      </w:p>
                    </w:txbxContent>
                  </v:textbox>
                </v:shape>
              </v:group>
            </w:pict>
          </mc:Fallback>
        </mc:AlternateContent>
      </w:r>
    </w:p>
    <w:p>
      <w:pPr>
        <w:pStyle w:val="7"/>
        <w:keepNext/>
        <w:keepLines/>
        <w:pageBreakBefore w:val="0"/>
        <w:widowControl w:val="0"/>
        <w:kinsoku/>
        <w:wordWrap/>
        <w:overflowPunct/>
        <w:topLinePunct w:val="0"/>
        <w:autoSpaceDE/>
        <w:autoSpaceDN/>
        <w:bidi w:val="0"/>
        <w:adjustRightInd/>
        <w:snapToGrid/>
        <w:spacing w:before="0" w:beforeLines="0"/>
        <w:textAlignment w:val="auto"/>
        <w:rPr>
          <w:rFonts w:hint="default"/>
          <w:color w:val="FFFFFF" w:themeColor="background1"/>
          <w:lang w:val="en-US" w:eastAsia="zh-CN"/>
          <w14:textFill>
            <w14:solidFill>
              <w14:schemeClr w14:val="bg1"/>
            </w14:solidFill>
          </w14:textFill>
        </w:rPr>
      </w:pPr>
      <w:r>
        <w:rPr>
          <w:rFonts w:hint="eastAsia"/>
          <w:color w:val="FFFFFF" w:themeColor="background1"/>
          <w:lang w:val="en-US" w:eastAsia="zh-CN"/>
          <w14:textFill>
            <w14:solidFill>
              <w14:schemeClr w14:val="bg1"/>
            </w14:solidFill>
          </w14:textFill>
        </w:rPr>
        <w:t>国内新闻</w:t>
      </w:r>
    </w:p>
    <w:p>
      <w:pPr>
        <w:pStyle w:val="7"/>
        <w:bidi w:val="0"/>
        <w:rPr>
          <w:rFonts w:hint="eastAsia"/>
          <w:lang w:eastAsia="zh-CN"/>
        </w:rPr>
      </w:pPr>
      <w:r>
        <w:rPr>
          <w:rFonts w:hint="eastAsia"/>
          <w:lang w:eastAsia="zh-CN"/>
        </w:rPr>
        <w:t>六省新闻</w:t>
      </w:r>
    </w:p>
    <w:p>
      <w:pPr>
        <w:pStyle w:val="8"/>
        <w:shd w:val="clear" w:fill="F1F1F1" w:themeFill="background1" w:themeFillShade="F2"/>
        <w:bidi w:val="0"/>
        <w:rPr>
          <w:rFonts w:hint="eastAsia"/>
          <w:lang w:eastAsia="zh-CN"/>
        </w:rPr>
      </w:pPr>
      <w:r>
        <w:rPr>
          <w:rFonts w:hint="eastAsia"/>
          <w:lang w:eastAsia="zh-CN"/>
        </w:rPr>
        <w:t>【浙江】</w:t>
      </w:r>
    </w:p>
    <w:p>
      <w:pPr>
        <w:bidi w:val="0"/>
        <w:rPr>
          <w:rFonts w:hint="eastAsia"/>
          <w:lang w:eastAsia="zh-CN"/>
        </w:rPr>
      </w:pPr>
      <w:r>
        <w:rPr>
          <w:rFonts w:hint="eastAsia"/>
          <w:lang w:val="en-US" w:eastAsia="zh-CN"/>
        </w:rPr>
        <w:t>1.</w:t>
      </w:r>
      <w:r>
        <w:rPr>
          <w:rFonts w:hint="eastAsia"/>
          <w:lang w:eastAsia="zh-CN"/>
        </w:rPr>
        <w:t>10月31日下午，省委理论学习中心组举行“学习贯彻党的二十大精神”专题学习会，推动全省上下持续兴起学习宣传贯彻二十大精神热潮。</w:t>
      </w:r>
    </w:p>
    <w:p>
      <w:pPr>
        <w:bidi w:val="0"/>
        <w:rPr>
          <w:rFonts w:hint="eastAsia"/>
          <w:lang w:val="en-US" w:eastAsia="zh-CN"/>
        </w:rPr>
      </w:pPr>
      <w:r>
        <w:rPr>
          <w:rFonts w:hint="eastAsia"/>
          <w:lang w:val="en-US" w:eastAsia="zh-CN"/>
        </w:rPr>
        <w:t>2.11月1日至3日，2022浙江（四川）旅游交易会在</w:t>
      </w:r>
      <w:r>
        <w:rPr>
          <w:rFonts w:hint="eastAsia"/>
          <w:b/>
          <w:bCs/>
          <w:lang w:val="en-US" w:eastAsia="zh-CN"/>
        </w:rPr>
        <w:t>成都</w:t>
      </w:r>
      <w:r>
        <w:rPr>
          <w:rFonts w:hint="eastAsia"/>
          <w:lang w:val="en-US" w:eastAsia="zh-CN"/>
        </w:rPr>
        <w:t>举办。活动以“游诗画浙江，蜀浙里好玩”为主题，紧紧围绕</w:t>
      </w:r>
      <w:r>
        <w:rPr>
          <w:rFonts w:hint="eastAsia"/>
          <w:b/>
          <w:bCs/>
          <w:lang w:val="en-US" w:eastAsia="zh-CN"/>
        </w:rPr>
        <w:t>“吃、住、行、游、购、娱”</w:t>
      </w:r>
      <w:r>
        <w:rPr>
          <w:rFonts w:hint="eastAsia"/>
          <w:lang w:val="en-US" w:eastAsia="zh-CN"/>
        </w:rPr>
        <w:t>等旅游要素，充分展示我省文化旅游资源。展会期间，还</w:t>
      </w:r>
      <w:r>
        <w:rPr>
          <w:rFonts w:hint="eastAsia"/>
          <w:b/>
          <w:bCs/>
          <w:lang w:val="en-US" w:eastAsia="zh-CN"/>
        </w:rPr>
        <w:t>将举办以“浙川携手、共绘美好”为主题的东西部对口交流座谈会</w:t>
      </w:r>
      <w:r>
        <w:rPr>
          <w:rFonts w:hint="eastAsia"/>
          <w:lang w:val="en-US" w:eastAsia="zh-CN"/>
        </w:rPr>
        <w:t>，大力推进浙江对四川的帮扶项目有效落地，夯实援川工作，发挥资源互补优势，开展全方位合作。据悉，11月中旬，四川省文化和旅游厅将组团赴浙江开展冬季旅游主题推介活动。</w:t>
      </w:r>
    </w:p>
    <w:p>
      <w:pPr>
        <w:bidi w:val="0"/>
        <w:rPr>
          <w:rFonts w:hint="eastAsia"/>
          <w:lang w:val="en-US" w:eastAsia="zh-CN"/>
        </w:rPr>
      </w:pPr>
      <w:r>
        <w:rPr>
          <w:rFonts w:hint="eastAsia"/>
          <w:lang w:val="en-US" w:eastAsia="zh-CN"/>
        </w:rPr>
        <w:t>3.连日来，省发展改革委、省经信厅、省财政厅、省自然资源厅、省生态环境厅、省建设厅、省交通运输厅、省水利厅、省农业农村厅、省商务厅、省国资委、省市场监管局、省统计局、杭州海关、省通信管理局迅速掀起学习热潮，认真贯彻落实党的二十大精神。大家表示，要切实把思想和行动统一到党的二十大精神上来，持续激发忠实践行“八八战略”、坚决做到“两个维护”、奋力推进“两个先行”的强大动力。</w:t>
      </w:r>
    </w:p>
    <w:p>
      <w:pPr>
        <w:bidi w:val="0"/>
        <w:rPr>
          <w:rFonts w:hint="eastAsia"/>
          <w:lang w:val="en-US" w:eastAsia="zh-CN"/>
        </w:rPr>
      </w:pPr>
      <w:r>
        <w:rPr>
          <w:rFonts w:hint="eastAsia"/>
          <w:lang w:val="en-US" w:eastAsia="zh-CN"/>
        </w:rPr>
        <w:t>4.11月1日上午，县（市、区）委书记工作交流会暨全省经济稳进提质攻坚行动工作例会在杭州召开。省委书记袁家军在会上强调，要认真学习、全面宣传、扎实贯彻党的二十大精神，按照习近平总书记“疫情要防住、经济要稳住、发展要安全”要求，完整、准确、全面贯彻新发展理念，坚持以推动高质量发展为主题，继续抓好稳进提质、除险保安、塑造变革，坚定做好自己的事，稳企业稳预期、增信心增动能，推动经济实现质的有效提升和量的合理增长，确保疫情不发生规模性反弹，确保经济运行在合理区间，确保社会大局平安稳定。</w:t>
      </w:r>
    </w:p>
    <w:p>
      <w:pPr>
        <w:bidi w:val="0"/>
        <w:rPr>
          <w:rFonts w:hint="eastAsia"/>
          <w:lang w:val="en-US" w:eastAsia="zh-CN"/>
        </w:rPr>
      </w:pPr>
      <w:r>
        <w:rPr>
          <w:rFonts w:hint="eastAsia"/>
          <w:lang w:val="en-US" w:eastAsia="zh-CN"/>
        </w:rPr>
        <w:t>5.日前，浙江省“智慧医保”系统正式通过国家医保局验收，</w:t>
      </w:r>
      <w:r>
        <w:rPr>
          <w:rFonts w:hint="eastAsia"/>
          <w:b/>
          <w:bCs/>
          <w:lang w:val="en-US" w:eastAsia="zh-CN"/>
        </w:rPr>
        <w:t>浙江</w:t>
      </w:r>
      <w:r>
        <w:rPr>
          <w:rFonts w:hint="eastAsia"/>
          <w:lang w:val="en-US" w:eastAsia="zh-CN"/>
        </w:rPr>
        <w:t>成为</w:t>
      </w:r>
      <w:r>
        <w:rPr>
          <w:rFonts w:hint="eastAsia"/>
          <w:b/>
          <w:bCs/>
          <w:lang w:val="en-US" w:eastAsia="zh-CN"/>
        </w:rPr>
        <w:t>全国首批通过验收的省份</w:t>
      </w:r>
      <w:r>
        <w:rPr>
          <w:rFonts w:hint="eastAsia"/>
          <w:lang w:val="en-US" w:eastAsia="zh-CN"/>
        </w:rPr>
        <w:t>。这意味着，曾经相互分割、难以共享的全省11个设区市的54套医保信息系统数据已全部“打通”。</w:t>
      </w:r>
    </w:p>
    <w:p>
      <w:pPr>
        <w:bidi w:val="0"/>
        <w:rPr>
          <w:rFonts w:hint="eastAsia"/>
          <w:lang w:val="en-US" w:eastAsia="zh-CN"/>
        </w:rPr>
      </w:pPr>
      <w:r>
        <w:rPr>
          <w:rFonts w:hint="eastAsia"/>
          <w:lang w:val="en-US" w:eastAsia="zh-CN"/>
        </w:rPr>
        <w:t>6.11月3日，日前，国家邮政局明确，2025年底，全国范围邮政快递网点禁止使用不可降解的塑料包装袋、塑料胶带、一次性塑料编织袋等。据悉，按计划，浙江将在2022年年底先行禁止使用不可降解的塑料包装袋、一次性塑料编织袋。</w:t>
      </w:r>
    </w:p>
    <w:p>
      <w:pPr>
        <w:bidi w:val="0"/>
        <w:rPr>
          <w:rFonts w:hint="eastAsia"/>
          <w:lang w:val="en-US" w:eastAsia="zh-CN"/>
        </w:rPr>
      </w:pPr>
      <w:r>
        <w:rPr>
          <w:rFonts w:hint="eastAsia"/>
          <w:lang w:val="en-US" w:eastAsia="zh-CN"/>
        </w:rPr>
        <w:t>7.11月3日，读原文、悟原理，感悟思想伟力；谈实践、抓落实，激荡为民情怀。连日来，我省科教文卫体系统传达学习贯彻党的二十大精神。大家纷纷表示，将全面、系统、深入学习党的二十大精神，始终与人民风雨同舟、与人民心心相印；依靠人民创造新的历史伟业，向着光荣和梦想的新征程勇毅前行。</w:t>
      </w:r>
    </w:p>
    <w:p>
      <w:pPr>
        <w:bidi w:val="0"/>
        <w:rPr>
          <w:rFonts w:hint="eastAsia"/>
          <w:lang w:val="en-US" w:eastAsia="zh-CN"/>
        </w:rPr>
      </w:pPr>
      <w:r>
        <w:rPr>
          <w:rFonts w:hint="eastAsia"/>
          <w:lang w:val="en-US" w:eastAsia="zh-CN"/>
        </w:rPr>
        <w:t>8.在全省上下深入学习贯彻党的二十大精神之际，省委、省政府于11月2日上午举行全省稳进提质金融工具重大项目集中开工活动，再次吹响扩大有效投资的集结号，动员全省上下</w:t>
      </w:r>
      <w:r>
        <w:rPr>
          <w:rFonts w:hint="eastAsia"/>
          <w:b/>
          <w:bCs/>
          <w:lang w:val="en-US" w:eastAsia="zh-CN"/>
        </w:rPr>
        <w:t>牢牢抓住重大项目建设这个“牛鼻子”</w:t>
      </w:r>
      <w:r>
        <w:rPr>
          <w:rFonts w:hint="eastAsia"/>
          <w:lang w:val="en-US" w:eastAsia="zh-CN"/>
        </w:rPr>
        <w:t>，奋力推进经济稳进提质，努力为全国大局勇挑大梁、多作贡献，真正把学习成效体现在行动上、落实到工作中。</w:t>
      </w:r>
    </w:p>
    <w:p>
      <w:pPr>
        <w:bidi w:val="0"/>
        <w:rPr>
          <w:rFonts w:hint="eastAsia"/>
          <w:lang w:val="en-US" w:eastAsia="zh-CN"/>
        </w:rPr>
      </w:pPr>
      <w:r>
        <w:rPr>
          <w:rFonts w:hint="eastAsia"/>
          <w:lang w:val="en-US" w:eastAsia="zh-CN"/>
        </w:rPr>
        <w:t>9.11月2日，省长王浩围绕学习贯彻党的二十大精神，深入</w:t>
      </w:r>
      <w:r>
        <w:rPr>
          <w:rFonts w:hint="eastAsia"/>
          <w:b/>
          <w:bCs/>
          <w:lang w:val="en-US" w:eastAsia="zh-CN"/>
        </w:rPr>
        <w:t>嘉兴桐乡调研企业发展和经济运行情况</w:t>
      </w:r>
      <w:r>
        <w:rPr>
          <w:rFonts w:hint="eastAsia"/>
          <w:lang w:val="en-US" w:eastAsia="zh-CN"/>
        </w:rPr>
        <w:t>，</w:t>
      </w:r>
      <w:r>
        <w:rPr>
          <w:rFonts w:hint="eastAsia"/>
          <w:b/>
          <w:bCs/>
          <w:lang w:val="en-US" w:eastAsia="zh-CN"/>
        </w:rPr>
        <w:t>检查指导2022年世界互联网大会乌镇峰会筹备工作</w:t>
      </w:r>
      <w:r>
        <w:rPr>
          <w:rFonts w:hint="eastAsia"/>
          <w:lang w:val="en-US" w:eastAsia="zh-CN"/>
        </w:rPr>
        <w:t>。</w:t>
      </w:r>
    </w:p>
    <w:p>
      <w:pPr>
        <w:bidi w:val="0"/>
        <w:rPr>
          <w:rFonts w:hint="default"/>
          <w:lang w:val="en-US" w:eastAsia="zh-CN"/>
        </w:rPr>
      </w:pPr>
      <w:r>
        <w:rPr>
          <w:rFonts w:hint="eastAsia"/>
          <w:lang w:val="en-US" w:eastAsia="zh-CN"/>
        </w:rPr>
        <w:t>10.11月3日上午，根据中央统一部署，学习贯彻党的二十大精神中央宣讲团来我省宣讲党的二十大精神。</w:t>
      </w:r>
    </w:p>
    <w:p>
      <w:pPr>
        <w:bidi w:val="0"/>
        <w:rPr>
          <w:rFonts w:hint="eastAsia"/>
          <w:lang w:val="en-US" w:eastAsia="zh-CN"/>
        </w:rPr>
      </w:pPr>
      <w:r>
        <w:rPr>
          <w:rFonts w:hint="eastAsia"/>
          <w:lang w:val="en-US" w:eastAsia="zh-CN"/>
        </w:rPr>
        <w:t>11.11月3日下午，省新型冠状病毒肺炎疫情防控工作领导小组召开专题会议，认真贯彻落实习近平总书记关于疫情防控工作的重要指示批示精神，听取全省疫情防控工作情况汇报，研究部署下一步重点工作。</w:t>
      </w:r>
    </w:p>
    <w:p>
      <w:pPr>
        <w:bidi w:val="0"/>
        <w:rPr>
          <w:rFonts w:hint="eastAsia"/>
          <w:lang w:val="en-US" w:eastAsia="zh-CN"/>
        </w:rPr>
      </w:pPr>
      <w:r>
        <w:rPr>
          <w:rFonts w:hint="eastAsia"/>
          <w:lang w:val="en-US" w:eastAsia="zh-CN"/>
        </w:rPr>
        <w:t>12.11月4日，省公务员局</w:t>
      </w:r>
      <w:r>
        <w:rPr>
          <w:rFonts w:hint="eastAsia"/>
          <w:b/>
          <w:bCs/>
          <w:lang w:val="en-US" w:eastAsia="zh-CN"/>
        </w:rPr>
        <w:t>启动全省公开遴选和公开选调工作</w:t>
      </w:r>
      <w:r>
        <w:rPr>
          <w:rFonts w:hint="eastAsia"/>
          <w:lang w:val="en-US" w:eastAsia="zh-CN"/>
        </w:rPr>
        <w:t>，共计划遴选和选调公务员381名。即日起，报考人员可登录长三角公务员考录一体化平台网站、浙江省公务员考试录用网等网站查询相关公告、计划，进行网上报名。注册报名时间为11月11日9时至11月14日17时，笔试时间为12月18日。</w:t>
      </w:r>
    </w:p>
    <w:p>
      <w:pPr>
        <w:bidi w:val="0"/>
        <w:rPr>
          <w:rFonts w:hint="eastAsia"/>
          <w:lang w:val="en-US" w:eastAsia="zh-CN"/>
        </w:rPr>
      </w:pPr>
      <w:r>
        <w:rPr>
          <w:rFonts w:hint="eastAsia"/>
          <w:lang w:val="en-US" w:eastAsia="zh-CN"/>
        </w:rPr>
        <w:t>13.11月6日，记者近日从省公务员局获悉，2023年全省各级机关单位计划招考公务员7746名（含山区26县专项招录计划395名）。据了解，这是</w:t>
      </w:r>
      <w:r>
        <w:rPr>
          <w:rFonts w:hint="eastAsia"/>
          <w:b/>
          <w:bCs/>
          <w:lang w:val="en-US" w:eastAsia="zh-CN"/>
        </w:rPr>
        <w:t>我省首次开展山区26县专项招录</w:t>
      </w:r>
      <w:r>
        <w:rPr>
          <w:rFonts w:hint="eastAsia"/>
          <w:lang w:val="en-US" w:eastAsia="zh-CN"/>
        </w:rPr>
        <w:t>，旨在破解山区26县与发达地区同台竞争吸引力不足问题，专项招录将在全省四级联考面试完成后，面向全省四级联考符合条件的笔试合格人员组织开展。此次招考注册报名时间为今年11月11日9时至11月15日17时，笔试时间为下个月17日、18日。</w:t>
      </w:r>
    </w:p>
    <w:p>
      <w:pPr>
        <w:bidi w:val="0"/>
        <w:rPr>
          <w:rFonts w:hint="eastAsia"/>
          <w:lang w:val="en-US" w:eastAsia="zh-CN"/>
        </w:rPr>
      </w:pPr>
      <w:r>
        <w:rPr>
          <w:rFonts w:hint="eastAsia"/>
          <w:lang w:val="en-US" w:eastAsia="zh-CN"/>
        </w:rPr>
        <w:t>14.5日，为期4天的第15届中国义乌国际森林产品博览会（下称“森博会”）在义乌国际博览中心开幕。在本届展会上，浙江省优质林产品公用品牌</w:t>
      </w:r>
      <w:r>
        <w:rPr>
          <w:rFonts w:hint="eastAsia"/>
          <w:b/>
          <w:bCs/>
          <w:lang w:val="en-US" w:eastAsia="zh-CN"/>
        </w:rPr>
        <w:t>“浙山珍”</w:t>
      </w:r>
      <w:r>
        <w:rPr>
          <w:rFonts w:hint="eastAsia"/>
          <w:lang w:val="en-US" w:eastAsia="zh-CN"/>
        </w:rPr>
        <w:t>首次向社会发布。当天，省林业局公布了首批获得授权的10家企业的18个产品，主要包括</w:t>
      </w:r>
      <w:r>
        <w:rPr>
          <w:rFonts w:hint="eastAsia"/>
          <w:b/>
          <w:bCs/>
          <w:lang w:val="en-US" w:eastAsia="zh-CN"/>
        </w:rPr>
        <w:t>山核桃、香榧、油茶、竹笋、林下中药材</w:t>
      </w:r>
      <w:r>
        <w:rPr>
          <w:rFonts w:hint="eastAsia"/>
          <w:lang w:val="en-US" w:eastAsia="zh-CN"/>
        </w:rPr>
        <w:t>等5个大类。</w:t>
      </w:r>
    </w:p>
    <w:p>
      <w:pPr>
        <w:bidi w:val="0"/>
        <w:rPr>
          <w:rFonts w:hint="eastAsia"/>
          <w:lang w:val="en-US" w:eastAsia="zh-CN"/>
        </w:rPr>
      </w:pPr>
      <w:r>
        <w:rPr>
          <w:rFonts w:hint="eastAsia"/>
          <w:lang w:val="en-US" w:eastAsia="zh-CN"/>
        </w:rPr>
        <w:t>15.第五届中国国际进口博览会11月4日晚在上海开幕，省长王浩参加开幕式，参观“中国这十年”对外开放成就展浙江展区，并于5日上午出席第五届虹桥国际经济论坛“数字经济开放与治理”分论坛。本次论坛以</w:t>
      </w:r>
      <w:r>
        <w:rPr>
          <w:rFonts w:hint="eastAsia"/>
          <w:b/>
          <w:bCs/>
          <w:lang w:val="en-US" w:eastAsia="zh-CN"/>
        </w:rPr>
        <w:t>“数字经济开放与治理”</w:t>
      </w:r>
      <w:r>
        <w:rPr>
          <w:rFonts w:hint="eastAsia"/>
          <w:lang w:val="en-US" w:eastAsia="zh-CN"/>
        </w:rPr>
        <w:t>为主题，汇聚国内外数字经济领域的知名企业、著名专家和权威组织，共商合作、共谋发展，为推动数字经济持续健康发展注入强大动力。</w:t>
      </w:r>
    </w:p>
    <w:p>
      <w:pPr>
        <w:bidi w:val="0"/>
        <w:rPr>
          <w:rFonts w:hint="eastAsia"/>
          <w:lang w:val="en-US" w:eastAsia="zh-CN"/>
        </w:rPr>
      </w:pPr>
      <w:r>
        <w:rPr>
          <w:rFonts w:hint="eastAsia"/>
          <w:lang w:val="en-US" w:eastAsia="zh-CN"/>
        </w:rPr>
        <w:t>16.11月6日下午，记者从进博会浙江专场新闻发布会上获悉，目前浙江团在采购热度、投资合作、平台能级三方面，均已创下新高。</w:t>
      </w:r>
    </w:p>
    <w:p>
      <w:pPr>
        <w:bidi w:val="0"/>
        <w:rPr>
          <w:rFonts w:hint="default"/>
          <w:lang w:val="en-US" w:eastAsia="zh-CN"/>
        </w:rPr>
      </w:pPr>
      <w:r>
        <w:rPr>
          <w:rFonts w:hint="eastAsia"/>
          <w:lang w:val="en-US" w:eastAsia="zh-CN"/>
        </w:rPr>
        <w:t>17.11月刚刚“启幕”，浙江已陆续承接了包括</w:t>
      </w:r>
      <w:r>
        <w:rPr>
          <w:rFonts w:hint="eastAsia"/>
          <w:b/>
          <w:bCs/>
          <w:lang w:val="en-US" w:eastAsia="zh-CN"/>
        </w:rPr>
        <w:t>2022年全国皮划艇静水锦标赛、2022年全国赛艇锦标赛、全国垒球联赛、全国射箭总决赛、全国沙滩足球锦标赛总决赛、2022中国桨板公开赛在内的6场国家级体育大赛</w:t>
      </w:r>
      <w:r>
        <w:rPr>
          <w:rFonts w:hint="eastAsia"/>
          <w:lang w:val="en-US" w:eastAsia="zh-CN"/>
        </w:rPr>
        <w:t>。前来参赛的，不乏世界冠军、亚洲冠军等高水平运动员。</w:t>
      </w:r>
    </w:p>
    <w:p>
      <w:pPr>
        <w:bidi w:val="0"/>
        <w:rPr>
          <w:rFonts w:hint="eastAsia"/>
          <w:lang w:val="en-US" w:eastAsia="zh-CN"/>
        </w:rPr>
      </w:pPr>
      <w:r>
        <w:rPr>
          <w:rFonts w:hint="eastAsia"/>
          <w:lang w:val="en-US" w:eastAsia="zh-CN"/>
        </w:rPr>
        <w:t>18.全省文旅融合</w:t>
      </w:r>
      <w:r>
        <w:rPr>
          <w:rFonts w:hint="eastAsia"/>
          <w:b/>
          <w:bCs/>
          <w:lang w:val="en-US" w:eastAsia="zh-CN"/>
        </w:rPr>
        <w:t>“五百五千”工程</w:t>
      </w:r>
      <w:r>
        <w:rPr>
          <w:rFonts w:hint="eastAsia"/>
          <w:lang w:val="en-US" w:eastAsia="zh-CN"/>
        </w:rPr>
        <w:t>启动会11月7日在</w:t>
      </w:r>
      <w:r>
        <w:rPr>
          <w:rFonts w:hint="eastAsia"/>
          <w:b/>
          <w:bCs/>
          <w:lang w:val="en-US" w:eastAsia="zh-CN"/>
        </w:rPr>
        <w:t>绍兴柯桥</w:t>
      </w:r>
      <w:r>
        <w:rPr>
          <w:rFonts w:hint="eastAsia"/>
          <w:lang w:val="en-US" w:eastAsia="zh-CN"/>
        </w:rPr>
        <w:t>举行。文旅融合“五百五千”工程是省文旅厅深入贯彻党的二十大和省第十五次党代会精神、推进文旅深度融合发展的战略性举措。该工程包含</w:t>
      </w:r>
      <w:r>
        <w:rPr>
          <w:rFonts w:hint="eastAsia"/>
          <w:b/>
          <w:bCs/>
          <w:lang w:val="en-US" w:eastAsia="zh-CN"/>
        </w:rPr>
        <w:t>“百县千碗”“百县千宿”“百县千艺”“百县千礼”和“百县千集”</w:t>
      </w:r>
      <w:r>
        <w:rPr>
          <w:rFonts w:hint="eastAsia"/>
          <w:lang w:val="en-US" w:eastAsia="zh-CN"/>
        </w:rPr>
        <w:t>五大部分，着眼于以项目化的思维，围绕“吃住游购娱”打造一批具有浙江辨识度的文旅融合产品，形成投资与消费相互促进的即期效应，将地域文化符号、特色民俗注入旅游休闲、文化娱乐等服务业，塑造具有长期影响的区域文旅品牌，进一步为人民群众营造高品质的休憩旅居美好生活。</w:t>
      </w:r>
    </w:p>
    <w:p>
      <w:pPr>
        <w:bidi w:val="0"/>
        <w:rPr>
          <w:rFonts w:hint="eastAsia"/>
          <w:lang w:val="en-US" w:eastAsia="zh-CN"/>
        </w:rPr>
      </w:pPr>
      <w:r>
        <w:rPr>
          <w:rFonts w:hint="eastAsia"/>
          <w:lang w:val="en-US" w:eastAsia="zh-CN"/>
        </w:rPr>
        <w:t>19.11月8日，</w:t>
      </w:r>
      <w:r>
        <w:rPr>
          <w:rFonts w:hint="eastAsia"/>
          <w:b/>
          <w:bCs/>
          <w:lang w:val="en-US" w:eastAsia="zh-CN"/>
        </w:rPr>
        <w:t>浙江省国家中医药综合改革示范区建设推进会</w:t>
      </w:r>
      <w:r>
        <w:rPr>
          <w:rFonts w:hint="eastAsia"/>
          <w:lang w:val="en-US" w:eastAsia="zh-CN"/>
        </w:rPr>
        <w:t>在杭召开。记者获悉，我省将全省域推进中医药示范区传承创新发展，为实现</w:t>
      </w:r>
      <w:r>
        <w:rPr>
          <w:rFonts w:hint="eastAsia"/>
          <w:b/>
          <w:bCs/>
          <w:lang w:val="en-US" w:eastAsia="zh-CN"/>
        </w:rPr>
        <w:t>“两个先行”夯实中医药基础</w:t>
      </w:r>
      <w:r>
        <w:rPr>
          <w:rFonts w:hint="eastAsia"/>
          <w:lang w:val="en-US" w:eastAsia="zh-CN"/>
        </w:rPr>
        <w:t>、发挥重要支撑作用。</w:t>
      </w:r>
    </w:p>
    <w:p>
      <w:pPr>
        <w:bidi w:val="0"/>
        <w:rPr>
          <w:rFonts w:hint="eastAsia"/>
          <w:lang w:val="en-US" w:eastAsia="zh-CN"/>
        </w:rPr>
      </w:pPr>
      <w:r>
        <w:rPr>
          <w:rFonts w:hint="eastAsia"/>
          <w:lang w:val="en-US" w:eastAsia="zh-CN"/>
        </w:rPr>
        <w:t>20.11月8日上午，由省消防安全委员会主办的</w:t>
      </w:r>
      <w:r>
        <w:rPr>
          <w:rFonts w:hint="eastAsia"/>
          <w:b/>
          <w:bCs/>
          <w:lang w:val="en-US" w:eastAsia="zh-CN"/>
        </w:rPr>
        <w:t>2022年浙江省“119”消防宣传月启动仪式</w:t>
      </w:r>
      <w:r>
        <w:rPr>
          <w:rFonts w:hint="eastAsia"/>
          <w:lang w:val="en-US" w:eastAsia="zh-CN"/>
        </w:rPr>
        <w:t>在杭州举行。今年的宣传月</w:t>
      </w:r>
      <w:r>
        <w:rPr>
          <w:rFonts w:hint="eastAsia"/>
          <w:b/>
          <w:bCs/>
          <w:lang w:val="en-US" w:eastAsia="zh-CN"/>
        </w:rPr>
        <w:t>主题是“抓消防安全，保高质量发展”</w:t>
      </w:r>
      <w:r>
        <w:rPr>
          <w:rFonts w:hint="eastAsia"/>
          <w:lang w:val="en-US" w:eastAsia="zh-CN"/>
        </w:rPr>
        <w:t>。</w:t>
      </w:r>
    </w:p>
    <w:p>
      <w:pPr>
        <w:bidi w:val="0"/>
        <w:rPr>
          <w:rFonts w:hint="eastAsia"/>
          <w:lang w:val="en-US" w:eastAsia="zh-CN"/>
        </w:rPr>
      </w:pPr>
      <w:r>
        <w:rPr>
          <w:rFonts w:hint="eastAsia"/>
          <w:lang w:val="en-US" w:eastAsia="zh-CN"/>
        </w:rPr>
        <w:t>21.11月7日至8日，2022年高水平推进健康浙江行动现场会在杭州举行。截至2021年底，</w:t>
      </w:r>
      <w:r>
        <w:rPr>
          <w:rFonts w:hint="eastAsia"/>
          <w:b/>
          <w:bCs/>
          <w:lang w:val="en-US" w:eastAsia="zh-CN"/>
        </w:rPr>
        <w:t>全省人均预期寿命达82.2岁</w:t>
      </w:r>
      <w:r>
        <w:rPr>
          <w:rFonts w:hint="eastAsia"/>
          <w:lang w:val="en-US" w:eastAsia="zh-CN"/>
        </w:rPr>
        <w:t>，高于全国4.0岁。</w:t>
      </w:r>
    </w:p>
    <w:p>
      <w:pPr>
        <w:bidi w:val="0"/>
        <w:rPr>
          <w:rFonts w:hint="eastAsia"/>
          <w:lang w:val="en-US" w:eastAsia="zh-CN"/>
        </w:rPr>
      </w:pPr>
      <w:r>
        <w:rPr>
          <w:rFonts w:hint="eastAsia"/>
          <w:lang w:val="en-US" w:eastAsia="zh-CN"/>
        </w:rPr>
        <w:t>22.全面推进乡村振兴，</w:t>
      </w:r>
      <w:r>
        <w:rPr>
          <w:rFonts w:hint="eastAsia"/>
          <w:b/>
          <w:bCs/>
          <w:lang w:val="en-US" w:eastAsia="zh-CN"/>
        </w:rPr>
        <w:t>持续深化的“千万工程”既是浙江高水平建设新时代美丽乡村的基础</w:t>
      </w:r>
      <w:r>
        <w:rPr>
          <w:rFonts w:hint="eastAsia"/>
          <w:lang w:val="en-US" w:eastAsia="zh-CN"/>
        </w:rPr>
        <w:t>，更是奔向共同富裕的底气所在。自2003年全面实施“千万工程”以来，浙江乡村建设开启了长达19年的“更新”，从示范引领到全域推进、提质扩面，与时俱进的浙江乡村不断充盈富的实质、丰富美的内涵，全省1.97万个村庄着力拉高美丽乡村“平均分”，从</w:t>
      </w:r>
      <w:r>
        <w:rPr>
          <w:rFonts w:hint="eastAsia"/>
          <w:b/>
          <w:bCs/>
          <w:lang w:val="en-US" w:eastAsia="zh-CN"/>
        </w:rPr>
        <w:t>各美其美</w:t>
      </w:r>
      <w:r>
        <w:rPr>
          <w:rFonts w:hint="eastAsia"/>
          <w:lang w:val="en-US" w:eastAsia="zh-CN"/>
        </w:rPr>
        <w:t>迈向</w:t>
      </w:r>
      <w:r>
        <w:rPr>
          <w:rFonts w:hint="eastAsia"/>
          <w:b/>
          <w:bCs/>
          <w:lang w:val="en-US" w:eastAsia="zh-CN"/>
        </w:rPr>
        <w:t>美美与共</w:t>
      </w:r>
      <w:r>
        <w:rPr>
          <w:rFonts w:hint="eastAsia"/>
          <w:lang w:val="en-US" w:eastAsia="zh-CN"/>
        </w:rPr>
        <w:t>。</w:t>
      </w:r>
    </w:p>
    <w:p>
      <w:pPr>
        <w:bidi w:val="0"/>
        <w:rPr>
          <w:rFonts w:hint="eastAsia"/>
          <w:lang w:val="en-US" w:eastAsia="zh-CN"/>
        </w:rPr>
      </w:pPr>
      <w:r>
        <w:rPr>
          <w:rFonts w:hint="eastAsia"/>
          <w:lang w:val="en-US" w:eastAsia="zh-CN"/>
        </w:rPr>
        <w:t>23.11月9日，浙江省</w:t>
      </w:r>
      <w:r>
        <w:rPr>
          <w:rFonts w:hint="eastAsia"/>
          <w:b/>
          <w:bCs/>
          <w:lang w:val="en-US" w:eastAsia="zh-CN"/>
        </w:rPr>
        <w:t>首届美育示范村授牌仪式</w:t>
      </w:r>
      <w:r>
        <w:rPr>
          <w:rFonts w:hint="eastAsia"/>
          <w:lang w:val="en-US" w:eastAsia="zh-CN"/>
        </w:rPr>
        <w:t>暨建设成果展示交流大会在杭州举行。截至目前，全省共建成</w:t>
      </w:r>
      <w:r>
        <w:rPr>
          <w:rFonts w:hint="eastAsia"/>
          <w:b/>
          <w:bCs/>
          <w:lang w:val="en-US" w:eastAsia="zh-CN"/>
        </w:rPr>
        <w:t>首批浙江省美育村（社区）86个、美育示范村18个、美术教育阵地350处</w:t>
      </w:r>
      <w:r>
        <w:rPr>
          <w:rFonts w:hint="eastAsia"/>
          <w:lang w:val="en-US" w:eastAsia="zh-CN"/>
        </w:rPr>
        <w:t>，引进驻村艺术家200余人，举办展览580余场，开展美育活动6500场，参与人数达300万人次，建立乡村美术馆26个、写生创作基地25个，创收3.7亿元。</w:t>
      </w:r>
    </w:p>
    <w:p>
      <w:pPr>
        <w:bidi w:val="0"/>
        <w:rPr>
          <w:rFonts w:hint="eastAsia"/>
          <w:lang w:val="en-US" w:eastAsia="zh-CN"/>
        </w:rPr>
      </w:pPr>
      <w:r>
        <w:rPr>
          <w:rFonts w:hint="eastAsia"/>
          <w:lang w:val="en-US" w:eastAsia="zh-CN"/>
        </w:rPr>
        <w:t>24.11月11日，由吉林省科技厅、浙江省科技厅共同举办的</w:t>
      </w:r>
      <w:r>
        <w:rPr>
          <w:rFonts w:hint="eastAsia"/>
          <w:b/>
          <w:bCs/>
          <w:lang w:val="en-US" w:eastAsia="zh-CN"/>
        </w:rPr>
        <w:t>2022吉浙跨区域科技创新合作推进会</w:t>
      </w:r>
      <w:r>
        <w:rPr>
          <w:rFonts w:hint="eastAsia"/>
          <w:lang w:val="en-US" w:eastAsia="zh-CN"/>
        </w:rPr>
        <w:t>在长春和杭州两地以实时连线、同屏互动的方式举行。会上，两地相关部门、高校院所和科技企业线上签署了</w:t>
      </w:r>
      <w:r>
        <w:rPr>
          <w:rFonts w:hint="eastAsia"/>
          <w:b/>
          <w:bCs/>
          <w:lang w:val="en-US" w:eastAsia="zh-CN"/>
        </w:rPr>
        <w:t>16个科技合作项目</w:t>
      </w:r>
      <w:r>
        <w:rPr>
          <w:rFonts w:hint="eastAsia"/>
          <w:lang w:val="en-US" w:eastAsia="zh-CN"/>
        </w:rPr>
        <w:t>，涵盖芯片研发、生命健康、特种材料、新能源、农业育种、装备制造等多个领域。</w:t>
      </w:r>
    </w:p>
    <w:p>
      <w:pPr>
        <w:bidi w:val="0"/>
        <w:rPr>
          <w:rFonts w:hint="eastAsia"/>
          <w:lang w:val="en-US" w:eastAsia="zh-CN"/>
        </w:rPr>
      </w:pPr>
      <w:r>
        <w:rPr>
          <w:rFonts w:hint="eastAsia"/>
          <w:lang w:val="en-US" w:eastAsia="zh-CN"/>
        </w:rPr>
        <w:t>25.11月12日，由中国科协与浙江省政府联合主办的</w:t>
      </w:r>
      <w:r>
        <w:rPr>
          <w:rFonts w:hint="eastAsia"/>
          <w:b/>
          <w:bCs/>
          <w:lang w:val="en-US" w:eastAsia="zh-CN"/>
        </w:rPr>
        <w:t>2022世界青年科学家峰会</w:t>
      </w:r>
      <w:r>
        <w:rPr>
          <w:rFonts w:hint="eastAsia"/>
          <w:lang w:val="en-US" w:eastAsia="zh-CN"/>
        </w:rPr>
        <w:t>在</w:t>
      </w:r>
      <w:r>
        <w:rPr>
          <w:rFonts w:hint="eastAsia"/>
          <w:b/>
          <w:bCs/>
          <w:lang w:val="en-US" w:eastAsia="zh-CN"/>
        </w:rPr>
        <w:t>温州</w:t>
      </w:r>
      <w:r>
        <w:rPr>
          <w:rFonts w:hint="eastAsia"/>
          <w:lang w:val="en-US" w:eastAsia="zh-CN"/>
        </w:rPr>
        <w:t>召开。</w:t>
      </w:r>
    </w:p>
    <w:p>
      <w:pPr>
        <w:bidi w:val="0"/>
        <w:rPr>
          <w:rFonts w:hint="eastAsia"/>
          <w:lang w:val="en-US" w:eastAsia="zh-CN"/>
        </w:rPr>
      </w:pPr>
      <w:r>
        <w:rPr>
          <w:rFonts w:hint="eastAsia"/>
          <w:lang w:val="en-US" w:eastAsia="zh-CN"/>
        </w:rPr>
        <w:t>26.记者近日从杭州海关获悉，今年1月至10月，</w:t>
      </w:r>
      <w:r>
        <w:rPr>
          <w:rFonts w:hint="eastAsia"/>
          <w:b/>
          <w:bCs/>
          <w:lang w:val="en-US" w:eastAsia="zh-CN"/>
        </w:rPr>
        <w:t>浙江进出口额</w:t>
      </w:r>
      <w:r>
        <w:rPr>
          <w:rFonts w:hint="eastAsia"/>
          <w:lang w:val="en-US" w:eastAsia="zh-CN"/>
        </w:rPr>
        <w:t>达3.9万亿元</w:t>
      </w:r>
      <w:r>
        <w:rPr>
          <w:rFonts w:hint="eastAsia"/>
          <w:b/>
          <w:bCs/>
          <w:lang w:val="en-US" w:eastAsia="zh-CN"/>
        </w:rPr>
        <w:t>，同比增长16.0%</w:t>
      </w:r>
      <w:r>
        <w:rPr>
          <w:rFonts w:hint="eastAsia"/>
          <w:lang w:val="en-US" w:eastAsia="zh-CN"/>
        </w:rPr>
        <w:t>，其中出口2.87万亿元，增长17.7%；进口1.03万亿元，增长11.7%。同期，</w:t>
      </w:r>
      <w:r>
        <w:rPr>
          <w:rFonts w:hint="eastAsia"/>
          <w:b/>
          <w:bCs/>
          <w:lang w:val="en-US" w:eastAsia="zh-CN"/>
        </w:rPr>
        <w:t>浙江进出口、出口、进口分别居全国第3、第3和第6位。</w:t>
      </w:r>
    </w:p>
    <w:p>
      <w:pPr>
        <w:bidi w:val="0"/>
        <w:rPr>
          <w:rFonts w:hint="eastAsia"/>
          <w:lang w:val="en-US" w:eastAsia="zh-CN"/>
        </w:rPr>
      </w:pPr>
      <w:r>
        <w:rPr>
          <w:rFonts w:hint="eastAsia"/>
          <w:lang w:val="en-US" w:eastAsia="zh-CN"/>
        </w:rPr>
        <w:t>27.记者7日从省教育厅获悉，我省日前</w:t>
      </w:r>
      <w:r>
        <w:rPr>
          <w:rFonts w:hint="eastAsia"/>
          <w:b/>
          <w:bCs/>
          <w:lang w:val="en-US" w:eastAsia="zh-CN"/>
        </w:rPr>
        <w:t>启动实施学生心理危机识别与干预专项提升工程</w:t>
      </w:r>
      <w:r>
        <w:rPr>
          <w:rFonts w:hint="eastAsia"/>
          <w:lang w:val="en-US" w:eastAsia="zh-CN"/>
        </w:rPr>
        <w:t>，通过建设各设区市学生心理诊疗与研究分中心、加强大中小学心理健康教师技能培训等举措，为我省大中小学生心理健康进一步保驾护航。</w:t>
      </w:r>
    </w:p>
    <w:p>
      <w:pPr>
        <w:bidi w:val="0"/>
        <w:rPr>
          <w:rFonts w:hint="eastAsia"/>
          <w:lang w:val="en-US" w:eastAsia="zh-CN"/>
        </w:rPr>
      </w:pPr>
      <w:r>
        <w:rPr>
          <w:rFonts w:hint="eastAsia"/>
          <w:lang w:val="en-US" w:eastAsia="zh-CN"/>
        </w:rPr>
        <w:t>28.11月14日，我省启动吸入用重组新冠病毒疫苗（5型腺病毒载体）加强免疫接种，首批接种工作在杭州开展。</w:t>
      </w:r>
    </w:p>
    <w:p>
      <w:pPr>
        <w:bidi w:val="0"/>
        <w:rPr>
          <w:rFonts w:hint="default"/>
          <w:lang w:val="en-US" w:eastAsia="zh-CN"/>
        </w:rPr>
      </w:pPr>
      <w:r>
        <w:rPr>
          <w:rFonts w:hint="eastAsia"/>
          <w:lang w:val="en-US" w:eastAsia="zh-CN"/>
        </w:rPr>
        <w:t>29.近日，记者从省大数据局获悉，浙江省政务协同平台——“浙政钉”，目前注册用户数已达180万，日活率达84%。浙江各地各部门基于“浙政钉”平台自建开发的应用数已超4000个，一个数字政务创新生态已经构建起来。依托掌上办公APP“浙政钉”，全省180多万名公职人员接入一个平台进行工作沟通和办公协同，</w:t>
      </w:r>
      <w:r>
        <w:rPr>
          <w:rFonts w:hint="eastAsia"/>
          <w:b/>
          <w:bCs/>
          <w:lang w:val="en-US" w:eastAsia="zh-CN"/>
        </w:rPr>
        <w:t>办公效率大幅提升</w:t>
      </w:r>
      <w:r>
        <w:rPr>
          <w:rFonts w:hint="eastAsia"/>
          <w:lang w:val="en-US" w:eastAsia="zh-CN"/>
        </w:rPr>
        <w:t>。</w:t>
      </w:r>
    </w:p>
    <w:p>
      <w:pPr>
        <w:pStyle w:val="2"/>
        <w:rPr>
          <w:rFonts w:hint="default"/>
          <w:lang w:val="en-US" w:eastAsia="zh-CN"/>
        </w:rPr>
      </w:pPr>
    </w:p>
    <w:p>
      <w:pPr>
        <w:pStyle w:val="4"/>
        <w:rPr>
          <w:rFonts w:hint="default"/>
          <w:lang w:val="en-US" w:eastAsia="zh-CN"/>
        </w:rPr>
      </w:pPr>
    </w:p>
    <w:p>
      <w:pPr>
        <w:pStyle w:val="4"/>
        <w:rPr>
          <w:rFonts w:hint="default"/>
          <w:lang w:val="en-US" w:eastAsia="zh-CN"/>
        </w:rPr>
      </w:pPr>
    </w:p>
    <w:p>
      <w:pPr>
        <w:pStyle w:val="4"/>
        <w:rPr>
          <w:rFonts w:hint="default"/>
          <w:lang w:val="en-US" w:eastAsia="zh-CN"/>
        </w:rPr>
      </w:pPr>
    </w:p>
    <w:p>
      <w:pPr>
        <w:pStyle w:val="8"/>
        <w:shd w:val="clear" w:fill="F1F1F1" w:themeFill="background1" w:themeFillShade="F2"/>
        <w:bidi w:val="0"/>
        <w:rPr>
          <w:rFonts w:hint="eastAsia"/>
          <w:lang w:eastAsia="zh-CN"/>
        </w:rPr>
      </w:pPr>
      <w:r>
        <w:rPr>
          <w:rFonts w:hint="eastAsia"/>
          <w:lang w:eastAsia="zh-CN"/>
        </w:rPr>
        <w:t>【江苏】</w:t>
      </w:r>
    </w:p>
    <w:p>
      <w:pPr>
        <w:rPr>
          <w:rFonts w:hint="eastAsia"/>
          <w:lang w:val="en-US" w:eastAsia="zh-CN"/>
        </w:rPr>
      </w:pPr>
      <w:r>
        <w:rPr>
          <w:rFonts w:hint="eastAsia"/>
          <w:lang w:val="en-US" w:eastAsia="zh-CN"/>
        </w:rPr>
        <w:t>1.11月1日电，近日，省自然资源厅会同省地方金融监管局、中国人民银行南京分行、省银保监局联合印发《关于在全省推行“带押过户”提升不动产登记与金融便民利企服务水平的通知》（下称《通知》），该文件是全国首个省级自然资源部门联合相关金融监管部门出台的“带押过户”规范性文件，将降低不动产交易风险和成本，为二手房交易市场注入新活力。</w:t>
      </w:r>
    </w:p>
    <w:p>
      <w:pPr>
        <w:rPr>
          <w:rFonts w:hint="eastAsia"/>
          <w:lang w:val="en-US" w:eastAsia="zh-CN"/>
        </w:rPr>
      </w:pPr>
      <w:r>
        <w:rPr>
          <w:rFonts w:hint="eastAsia"/>
          <w:lang w:val="en-US" w:eastAsia="zh-CN"/>
        </w:rPr>
        <w:t>2.11月1日，长三角一体化发展示范区执委会会同两省一市发展改革部门，近日印发《长三角生态绿色一体化发展示范区建立健全生态产品价值实现机制实施方案》，建立健全生态产品价值实现机制，促进“绿水青山”向“金山银山”转化。长三角示范区包含上海市青浦区、江苏省苏州市吴江区、浙江省嘉善县。</w:t>
      </w:r>
    </w:p>
    <w:p>
      <w:pPr>
        <w:rPr>
          <w:rFonts w:hint="eastAsia"/>
          <w:lang w:val="en-US" w:eastAsia="zh-CN"/>
        </w:rPr>
      </w:pPr>
      <w:r>
        <w:rPr>
          <w:rFonts w:hint="eastAsia"/>
          <w:lang w:val="en-US" w:eastAsia="zh-CN"/>
        </w:rPr>
        <w:t>3.近年来，数字化程度已成为衡量港口竞争力的重要指标。日前在太仓举行的全省智慧港口建设推进现场会上，我省提出将全面推动港口数字化转型、智慧化发展，力争到2025年全省港口智慧化发展水平总体步入全国前列，以港口的高质量发展支撑交通强省和交通运输现代化示范区建设，为长三角世界级港口群注入强劲新动能。</w:t>
      </w:r>
    </w:p>
    <w:p>
      <w:pPr>
        <w:rPr>
          <w:rFonts w:hint="default"/>
          <w:lang w:val="en-US" w:eastAsia="zh-CN"/>
        </w:rPr>
      </w:pPr>
      <w:r>
        <w:rPr>
          <w:rFonts w:hint="eastAsia"/>
          <w:lang w:val="en-US" w:eastAsia="zh-CN"/>
        </w:rPr>
        <w:t>4.11月2日电，作为开放型经济大省，江苏与东盟经贸关系密切，经济互补性强，产业链、供应链联系紧密。据南京海关统计，今年前三季度，</w:t>
      </w:r>
      <w:r>
        <w:rPr>
          <w:rFonts w:hint="eastAsia"/>
          <w:b/>
          <w:bCs/>
          <w:lang w:val="en-US" w:eastAsia="zh-CN"/>
        </w:rPr>
        <w:t>江苏对东盟国家</w:t>
      </w:r>
      <w:r>
        <w:rPr>
          <w:rFonts w:hint="eastAsia"/>
          <w:lang w:val="en-US" w:eastAsia="zh-CN"/>
        </w:rPr>
        <w:t>合计进出口6074.7亿元，</w:t>
      </w:r>
      <w:r>
        <w:rPr>
          <w:rFonts w:hint="eastAsia"/>
          <w:b/>
          <w:bCs/>
          <w:lang w:val="en-US" w:eastAsia="zh-CN"/>
        </w:rPr>
        <w:t>同比增长13.8%。</w:t>
      </w:r>
    </w:p>
    <w:p>
      <w:pPr>
        <w:rPr>
          <w:rFonts w:hint="eastAsia"/>
          <w:lang w:val="en-US" w:eastAsia="zh-CN"/>
        </w:rPr>
      </w:pPr>
      <w:r>
        <w:rPr>
          <w:rFonts w:hint="eastAsia"/>
          <w:lang w:val="en-US" w:eastAsia="zh-CN"/>
        </w:rPr>
        <w:t>5.11月1日，全国冬春农田水利建设暨秋冬“三农”重点工作电视电话会议后，省政府接着召开续会，部署我省今冬明春</w:t>
      </w:r>
      <w:r>
        <w:rPr>
          <w:rFonts w:hint="eastAsia"/>
          <w:b/>
          <w:bCs/>
          <w:lang w:val="en-US" w:eastAsia="zh-CN"/>
        </w:rPr>
        <w:t>农田水利基础建设和农业生产工作</w:t>
      </w:r>
      <w:r>
        <w:rPr>
          <w:rFonts w:hint="eastAsia"/>
          <w:lang w:val="en-US" w:eastAsia="zh-CN"/>
        </w:rPr>
        <w:t>。</w:t>
      </w:r>
    </w:p>
    <w:p>
      <w:pPr>
        <w:rPr>
          <w:rFonts w:hint="eastAsia"/>
          <w:lang w:val="en-US" w:eastAsia="zh-CN"/>
        </w:rPr>
      </w:pPr>
      <w:r>
        <w:rPr>
          <w:rFonts w:hint="eastAsia"/>
          <w:lang w:val="en-US" w:eastAsia="zh-CN"/>
        </w:rPr>
        <w:t>6.11月2日，我省召开</w:t>
      </w:r>
      <w:r>
        <w:rPr>
          <w:rFonts w:hint="eastAsia"/>
          <w:b/>
          <w:bCs/>
          <w:lang w:val="en-US" w:eastAsia="zh-CN"/>
        </w:rPr>
        <w:t>苏南地区提升污水集中收集处理率调度推进会</w:t>
      </w:r>
      <w:r>
        <w:rPr>
          <w:rFonts w:hint="eastAsia"/>
          <w:lang w:val="en-US" w:eastAsia="zh-CN"/>
        </w:rPr>
        <w:t>。会上，省深入打好污染防治攻坚战指挥部办公室通报了全省污水集中收集处理率提升情况。今年前三季度，</w:t>
      </w:r>
      <w:r>
        <w:rPr>
          <w:rFonts w:hint="eastAsia"/>
          <w:b/>
          <w:bCs/>
          <w:lang w:val="en-US" w:eastAsia="zh-CN"/>
        </w:rPr>
        <w:t>全省新建污水管网1245公里，改造污水管网294公里，新增污水处理能力48万吨/日</w:t>
      </w:r>
      <w:r>
        <w:rPr>
          <w:rFonts w:hint="eastAsia"/>
          <w:lang w:val="en-US" w:eastAsia="zh-CN"/>
        </w:rPr>
        <w:t>。其中，苏南地区新建污水管网224公里，改造污水管网125.5公里，新增污水处理能力28.1万吨/日。</w:t>
      </w:r>
    </w:p>
    <w:p>
      <w:pPr>
        <w:rPr>
          <w:rFonts w:hint="eastAsia"/>
          <w:lang w:val="en-US" w:eastAsia="zh-CN"/>
        </w:rPr>
      </w:pPr>
      <w:r>
        <w:rPr>
          <w:rFonts w:hint="eastAsia"/>
          <w:lang w:val="en-US" w:eastAsia="zh-CN"/>
        </w:rPr>
        <w:t>7.11月3日电，近年来，江苏在“质量强省”建设方面持续发力，</w:t>
      </w:r>
      <w:r>
        <w:rPr>
          <w:rFonts w:hint="eastAsia"/>
          <w:b/>
          <w:bCs/>
          <w:lang w:val="en-US" w:eastAsia="zh-CN"/>
        </w:rPr>
        <w:t>质量基础设施“一站式”服务工作全国领先</w:t>
      </w:r>
      <w:r>
        <w:rPr>
          <w:rFonts w:hint="eastAsia"/>
          <w:lang w:val="en-US" w:eastAsia="zh-CN"/>
        </w:rPr>
        <w:t>，截至目前，建成服务站点200个，服务企业114.54万次，解决技术难题1.71万个。</w:t>
      </w:r>
    </w:p>
    <w:p>
      <w:pPr>
        <w:rPr>
          <w:rFonts w:hint="eastAsia"/>
          <w:lang w:val="en-US" w:eastAsia="zh-CN"/>
        </w:rPr>
      </w:pPr>
      <w:r>
        <w:rPr>
          <w:rFonts w:hint="eastAsia"/>
          <w:lang w:val="en-US" w:eastAsia="zh-CN"/>
        </w:rPr>
        <w:t>8.11月3日，</w:t>
      </w:r>
      <w:r>
        <w:rPr>
          <w:rFonts w:hint="eastAsia"/>
          <w:b/>
          <w:bCs/>
          <w:lang w:val="en-US" w:eastAsia="zh-CN"/>
        </w:rPr>
        <w:t>2022中国生物技术创新大会以线上形式在北京和苏州</w:t>
      </w:r>
      <w:r>
        <w:rPr>
          <w:rFonts w:hint="eastAsia"/>
          <w:lang w:val="en-US" w:eastAsia="zh-CN"/>
        </w:rPr>
        <w:t>两地同步举办，现场发布2021年国家生物医药产业园区竞争力排名。江苏有14个园区进入前50强，6个园区进入前20强，苏州工业园区综合竞争力稳居全国第一方阵。</w:t>
      </w:r>
    </w:p>
    <w:p>
      <w:pPr>
        <w:rPr>
          <w:rFonts w:hint="eastAsia"/>
          <w:lang w:val="en-US" w:eastAsia="zh-CN"/>
        </w:rPr>
      </w:pPr>
      <w:r>
        <w:rPr>
          <w:rFonts w:hint="eastAsia"/>
          <w:lang w:val="en-US" w:eastAsia="zh-CN"/>
        </w:rPr>
        <w:t>9.11月2日，工信部</w:t>
      </w:r>
      <w:r>
        <w:rPr>
          <w:rFonts w:hint="eastAsia"/>
          <w:b/>
          <w:bCs/>
          <w:lang w:val="en-US" w:eastAsia="zh-CN"/>
        </w:rPr>
        <w:t>第三轮先进制造业集群决赛优胜者名单</w:t>
      </w:r>
      <w:r>
        <w:rPr>
          <w:rFonts w:hint="eastAsia"/>
          <w:lang w:val="en-US" w:eastAsia="zh-CN"/>
        </w:rPr>
        <w:t>结束公示，最终共20个集群入选“国家队”，我省占据4席，分别是南通市、泰州市、扬州市</w:t>
      </w:r>
      <w:r>
        <w:rPr>
          <w:rFonts w:hint="eastAsia"/>
          <w:b/>
          <w:bCs/>
          <w:lang w:val="en-US" w:eastAsia="zh-CN"/>
        </w:rPr>
        <w:t>海工装备和高技术船舶集</w:t>
      </w:r>
      <w:r>
        <w:rPr>
          <w:rFonts w:hint="eastAsia"/>
          <w:lang w:val="en-US" w:eastAsia="zh-CN"/>
        </w:rPr>
        <w:t>群，苏州市</w:t>
      </w:r>
      <w:r>
        <w:rPr>
          <w:rFonts w:hint="eastAsia"/>
          <w:b/>
          <w:bCs/>
          <w:lang w:val="en-US" w:eastAsia="zh-CN"/>
        </w:rPr>
        <w:t>生物医药及高端医疗器械集群</w:t>
      </w:r>
      <w:r>
        <w:rPr>
          <w:rFonts w:hint="eastAsia"/>
          <w:lang w:val="en-US" w:eastAsia="zh-CN"/>
        </w:rPr>
        <w:t>，泰州市、连云港市、无锡市</w:t>
      </w:r>
      <w:r>
        <w:rPr>
          <w:rFonts w:hint="eastAsia"/>
          <w:b/>
          <w:bCs/>
          <w:lang w:val="en-US" w:eastAsia="zh-CN"/>
        </w:rPr>
        <w:t>生物医药集群</w:t>
      </w:r>
      <w:r>
        <w:rPr>
          <w:rFonts w:hint="eastAsia"/>
          <w:lang w:val="en-US" w:eastAsia="zh-CN"/>
        </w:rPr>
        <w:t>，苏州市、无锡市、南通市</w:t>
      </w:r>
      <w:r>
        <w:rPr>
          <w:rFonts w:hint="eastAsia"/>
          <w:b/>
          <w:bCs/>
          <w:lang w:val="en-US" w:eastAsia="zh-CN"/>
        </w:rPr>
        <w:t>高端纺织集群</w:t>
      </w:r>
      <w:r>
        <w:rPr>
          <w:rFonts w:hint="eastAsia"/>
          <w:lang w:val="en-US" w:eastAsia="zh-CN"/>
        </w:rPr>
        <w:t>。至此，</w:t>
      </w:r>
      <w:r>
        <w:rPr>
          <w:rFonts w:hint="eastAsia"/>
          <w:b/>
          <w:bCs/>
          <w:lang w:val="en-US" w:eastAsia="zh-CN"/>
        </w:rPr>
        <w:t>我省国家级先进制造业集群总数达到10个</w:t>
      </w:r>
      <w:r>
        <w:rPr>
          <w:rFonts w:hint="eastAsia"/>
          <w:lang w:val="en-US" w:eastAsia="zh-CN"/>
        </w:rPr>
        <w:t>，</w:t>
      </w:r>
      <w:r>
        <w:rPr>
          <w:rFonts w:hint="eastAsia"/>
          <w:b/>
          <w:bCs/>
          <w:lang w:val="en-US" w:eastAsia="zh-CN"/>
        </w:rPr>
        <w:t>总数居全国第一</w:t>
      </w:r>
      <w:r>
        <w:rPr>
          <w:rFonts w:hint="eastAsia"/>
          <w:lang w:val="en-US" w:eastAsia="zh-CN"/>
        </w:rPr>
        <w:t>。</w:t>
      </w:r>
    </w:p>
    <w:p>
      <w:pPr>
        <w:rPr>
          <w:rFonts w:hint="eastAsia"/>
          <w:lang w:val="en-US" w:eastAsia="zh-CN"/>
        </w:rPr>
      </w:pPr>
      <w:r>
        <w:rPr>
          <w:rFonts w:hint="eastAsia"/>
          <w:lang w:val="en-US" w:eastAsia="zh-CN"/>
        </w:rPr>
        <w:t>10.11月3日，苏陕协作工作座谈会在南京召开。会议总结交流今年以来苏陕协作工作情况，研究部署2023年重点工作任务。</w:t>
      </w:r>
    </w:p>
    <w:p>
      <w:pPr>
        <w:rPr>
          <w:rFonts w:hint="eastAsia"/>
          <w:b/>
          <w:bCs/>
          <w:lang w:val="en-US" w:eastAsia="zh-CN"/>
        </w:rPr>
      </w:pPr>
      <w:r>
        <w:rPr>
          <w:rFonts w:hint="eastAsia"/>
          <w:lang w:val="en-US" w:eastAsia="zh-CN"/>
        </w:rPr>
        <w:t>11.今年以来，实施新的组合式税费支持政策，尤其是包括大规模增值税留抵退税、减税降费、缓税缓费的政策“组合拳”协同发力，对助企纾困、稳经济发挥了关键作用。省税务部门最新数据显示，</w:t>
      </w:r>
      <w:r>
        <w:rPr>
          <w:rFonts w:hint="eastAsia"/>
          <w:b/>
          <w:bCs/>
          <w:lang w:val="en-US" w:eastAsia="zh-CN"/>
        </w:rPr>
        <w:t>截至9月底，全省累计落实新增减税降费及退税缓税缓费3815.8亿元。</w:t>
      </w:r>
    </w:p>
    <w:p>
      <w:pPr>
        <w:rPr>
          <w:rFonts w:hint="eastAsia"/>
          <w:lang w:val="en-US" w:eastAsia="zh-CN"/>
        </w:rPr>
      </w:pPr>
      <w:r>
        <w:rPr>
          <w:rFonts w:hint="eastAsia"/>
          <w:lang w:val="en-US" w:eastAsia="zh-CN"/>
        </w:rPr>
        <w:t>12.11月4日，</w:t>
      </w:r>
      <w:r>
        <w:rPr>
          <w:rFonts w:hint="eastAsia"/>
          <w:b/>
          <w:bCs/>
          <w:lang w:val="en-US" w:eastAsia="zh-CN"/>
        </w:rPr>
        <w:t>徐州国家可持续发展议程创新示范区启动</w:t>
      </w:r>
      <w:r>
        <w:rPr>
          <w:rFonts w:hint="eastAsia"/>
          <w:lang w:val="en-US" w:eastAsia="zh-CN"/>
        </w:rPr>
        <w:t>建设大会召开。</w:t>
      </w:r>
    </w:p>
    <w:p>
      <w:pPr>
        <w:rPr>
          <w:rFonts w:hint="eastAsia"/>
          <w:lang w:val="en-US" w:eastAsia="zh-CN"/>
        </w:rPr>
      </w:pPr>
      <w:r>
        <w:rPr>
          <w:rFonts w:hint="eastAsia"/>
          <w:lang w:val="en-US" w:eastAsia="zh-CN"/>
        </w:rPr>
        <w:t>13.据南京海关统计，今年前三季度，江苏省对上合组织其他成员国进出口1882.6亿元，</w:t>
      </w:r>
      <w:r>
        <w:rPr>
          <w:rFonts w:hint="eastAsia"/>
          <w:b/>
          <w:bCs/>
          <w:lang w:val="en-US" w:eastAsia="zh-CN"/>
        </w:rPr>
        <w:t>同比增长24%。</w:t>
      </w:r>
    </w:p>
    <w:p>
      <w:pPr>
        <w:rPr>
          <w:rFonts w:hint="default"/>
          <w:lang w:val="en-US" w:eastAsia="zh-CN"/>
        </w:rPr>
      </w:pPr>
      <w:r>
        <w:rPr>
          <w:rFonts w:hint="eastAsia"/>
          <w:lang w:val="en-US" w:eastAsia="zh-CN"/>
        </w:rPr>
        <w:t>14.11月7日电，除了老年大学，江苏老年人求学有了更多选择。我省近日认定并公布首批17个“江苏高校银龄学习中心”，将捧出丰富多样的课程，让更多老年人“有学上”“上好学”。</w:t>
      </w:r>
    </w:p>
    <w:p>
      <w:pPr>
        <w:rPr>
          <w:rFonts w:hint="eastAsia"/>
          <w:lang w:val="en-US" w:eastAsia="zh-CN"/>
        </w:rPr>
      </w:pPr>
      <w:r>
        <w:rPr>
          <w:rFonts w:hint="eastAsia"/>
          <w:lang w:val="en-US" w:eastAsia="zh-CN"/>
        </w:rPr>
        <w:t>15.省文旅厅、省教育厅、省科技厅、省工信厅、省财政厅、省人社厅等十部门近日联合印发</w:t>
      </w:r>
      <w:r>
        <w:rPr>
          <w:rFonts w:hint="eastAsia"/>
          <w:b/>
          <w:bCs/>
          <w:lang w:val="en-US" w:eastAsia="zh-CN"/>
        </w:rPr>
        <w:t>《关于推动传统工艺高质量传承发展的实施意见》</w:t>
      </w:r>
      <w:r>
        <w:rPr>
          <w:rFonts w:hint="eastAsia"/>
          <w:lang w:val="en-US" w:eastAsia="zh-CN"/>
        </w:rPr>
        <w:t>。</w:t>
      </w:r>
      <w:r>
        <w:rPr>
          <w:rFonts w:hint="eastAsia"/>
          <w:b/>
          <w:bCs/>
          <w:lang w:val="en-US" w:eastAsia="zh-CN"/>
        </w:rPr>
        <w:t>到2025年</w:t>
      </w:r>
      <w:r>
        <w:rPr>
          <w:rFonts w:hint="eastAsia"/>
          <w:lang w:val="en-US" w:eastAsia="zh-CN"/>
        </w:rPr>
        <w:t>，我省传统工艺高质量传承发展工作机制逐步健全，地标品牌引领、区域特色发展模式初步建立，传统工艺类品牌产品达600个以上，知名品牌不低于60个，产品销售额年增长达3%。</w:t>
      </w:r>
    </w:p>
    <w:p>
      <w:pPr>
        <w:rPr>
          <w:rFonts w:hint="eastAsia"/>
          <w:lang w:val="en-US" w:eastAsia="zh-CN"/>
        </w:rPr>
      </w:pPr>
      <w:r>
        <w:rPr>
          <w:rFonts w:hint="eastAsia"/>
          <w:lang w:val="en-US" w:eastAsia="zh-CN"/>
        </w:rPr>
        <w:t>16.省发展改革委、省法院、省市场监管局等部门日前联合印发</w:t>
      </w:r>
      <w:r>
        <w:rPr>
          <w:rFonts w:hint="eastAsia"/>
          <w:b/>
          <w:bCs/>
          <w:lang w:val="en-US" w:eastAsia="zh-CN"/>
        </w:rPr>
        <w:t>《关于开展破产重整、和解企业信用修复工作的通知》</w:t>
      </w:r>
      <w:r>
        <w:rPr>
          <w:rFonts w:hint="eastAsia"/>
          <w:lang w:val="en-US" w:eastAsia="zh-CN"/>
        </w:rPr>
        <w:t>，支持破产重整、和解企业重建信用，促进有再生希望的危困企业脱困重生、重获经营能力，持续优化市场化法治化国际化营商环境。</w:t>
      </w:r>
    </w:p>
    <w:p>
      <w:pPr>
        <w:rPr>
          <w:rFonts w:hint="eastAsia"/>
          <w:lang w:val="en-US" w:eastAsia="zh-CN"/>
        </w:rPr>
      </w:pPr>
      <w:r>
        <w:rPr>
          <w:rFonts w:hint="eastAsia"/>
          <w:lang w:val="en-US" w:eastAsia="zh-CN"/>
        </w:rPr>
        <w:t>17.11月6日，</w:t>
      </w:r>
      <w:r>
        <w:rPr>
          <w:rFonts w:hint="eastAsia"/>
          <w:b/>
          <w:bCs/>
          <w:lang w:val="en-US" w:eastAsia="zh-CN"/>
        </w:rPr>
        <w:t>第十三届中国（徐州）国际园林博览会</w:t>
      </w:r>
      <w:r>
        <w:rPr>
          <w:rFonts w:hint="eastAsia"/>
          <w:lang w:val="en-US" w:eastAsia="zh-CN"/>
        </w:rPr>
        <w:t>正式开幕。本届园博会由住建部、江苏省政府主办，徐州市政府、省住建厅承办，围绕</w:t>
      </w:r>
      <w:r>
        <w:rPr>
          <w:rFonts w:hint="eastAsia"/>
          <w:b/>
          <w:bCs/>
          <w:lang w:val="en-US" w:eastAsia="zh-CN"/>
        </w:rPr>
        <w:t>“绿色城市·美好生活”主题</w:t>
      </w:r>
      <w:r>
        <w:rPr>
          <w:rFonts w:hint="eastAsia"/>
          <w:lang w:val="en-US" w:eastAsia="zh-CN"/>
        </w:rPr>
        <w:t>，采取“1（主展园）+1（副展园）+N（分展园）”联动模式，营造全城园博浓厚氛围，让人民群众享受园博会办会成果。</w:t>
      </w:r>
    </w:p>
    <w:p>
      <w:pPr>
        <w:rPr>
          <w:rFonts w:hint="eastAsia"/>
          <w:lang w:val="en-US" w:eastAsia="zh-CN"/>
        </w:rPr>
      </w:pPr>
      <w:r>
        <w:rPr>
          <w:rFonts w:hint="eastAsia"/>
          <w:lang w:val="en-US" w:eastAsia="zh-CN"/>
        </w:rPr>
        <w:t>18.11月6日，</w:t>
      </w:r>
      <w:r>
        <w:rPr>
          <w:rFonts w:hint="eastAsia"/>
          <w:b/>
          <w:bCs/>
          <w:lang w:val="en-US" w:eastAsia="zh-CN"/>
        </w:rPr>
        <w:t>第五届中新合作服务贸易创新论坛在苏州</w:t>
      </w:r>
      <w:r>
        <w:rPr>
          <w:rFonts w:hint="eastAsia"/>
          <w:lang w:val="en-US" w:eastAsia="zh-CN"/>
        </w:rPr>
        <w:t>举行。本次论坛由商务部和江苏省政府主办，以</w:t>
      </w:r>
      <w:r>
        <w:rPr>
          <w:rFonts w:hint="eastAsia"/>
          <w:b/>
          <w:bCs/>
          <w:lang w:val="en-US" w:eastAsia="zh-CN"/>
        </w:rPr>
        <w:t>“数字化——全球服务贸易新动能”为主</w:t>
      </w:r>
      <w:r>
        <w:rPr>
          <w:rFonts w:hint="eastAsia"/>
          <w:lang w:val="en-US" w:eastAsia="zh-CN"/>
        </w:rPr>
        <w:t>题，旨在促进数字贸易发展共识，推进数字平台建设，为各国企业融入中国服务大市场提供全方位机遇。</w:t>
      </w:r>
    </w:p>
    <w:p>
      <w:pPr>
        <w:bidi w:val="0"/>
        <w:rPr>
          <w:rFonts w:hint="eastAsia"/>
          <w:lang w:val="en-US" w:eastAsia="zh-CN"/>
        </w:rPr>
      </w:pPr>
      <w:r>
        <w:rPr>
          <w:rFonts w:hint="eastAsia"/>
          <w:lang w:val="en-US" w:eastAsia="zh-CN"/>
        </w:rPr>
        <w:t>19.11月7日，</w:t>
      </w:r>
      <w:r>
        <w:rPr>
          <w:rFonts w:hint="eastAsia"/>
          <w:b/>
          <w:bCs/>
          <w:lang w:val="en-US" w:eastAsia="zh-CN"/>
        </w:rPr>
        <w:t>2022长三角文旅一体化合作发展峰会</w:t>
      </w:r>
      <w:r>
        <w:rPr>
          <w:rFonts w:hint="eastAsia"/>
          <w:lang w:val="en-US" w:eastAsia="zh-CN"/>
        </w:rPr>
        <w:t>在</w:t>
      </w:r>
      <w:r>
        <w:rPr>
          <w:rFonts w:hint="eastAsia"/>
          <w:b/>
          <w:bCs/>
          <w:lang w:val="en-US" w:eastAsia="zh-CN"/>
        </w:rPr>
        <w:t>扬州</w:t>
      </w:r>
      <w:r>
        <w:rPr>
          <w:rFonts w:hint="eastAsia"/>
          <w:lang w:val="en-US" w:eastAsia="zh-CN"/>
        </w:rPr>
        <w:t>举行，来自沪苏浙皖三省一市旅游协会代表及嘉宾齐聚一堂，以</w:t>
      </w:r>
      <w:r>
        <w:rPr>
          <w:rFonts w:hint="eastAsia"/>
          <w:b/>
          <w:bCs/>
          <w:lang w:val="en-US" w:eastAsia="zh-CN"/>
        </w:rPr>
        <w:t>“一体化合作再扬帆，高质量发展谱新篇”为主题</w:t>
      </w:r>
      <w:r>
        <w:rPr>
          <w:rFonts w:hint="eastAsia"/>
          <w:lang w:val="en-US" w:eastAsia="zh-CN"/>
        </w:rPr>
        <w:t>，共谋长三角文旅一体化高质量发展新格局。会议当天发布《长三角文旅一体化合作发展扬州宣言》和《2022长三角文化和旅游优秀案例榜单》。</w:t>
      </w:r>
    </w:p>
    <w:p>
      <w:pPr>
        <w:bidi w:val="0"/>
        <w:rPr>
          <w:rFonts w:hint="eastAsia"/>
          <w:lang w:val="en-US" w:eastAsia="zh-CN"/>
        </w:rPr>
      </w:pPr>
      <w:r>
        <w:rPr>
          <w:rFonts w:hint="eastAsia"/>
          <w:lang w:val="en-US" w:eastAsia="zh-CN"/>
        </w:rPr>
        <w:t>20.复杂多变的严峻形势下，今年我省先后出台</w:t>
      </w:r>
      <w:r>
        <w:rPr>
          <w:rFonts w:hint="eastAsia"/>
          <w:b/>
          <w:bCs/>
          <w:lang w:val="en-US" w:eastAsia="zh-CN"/>
        </w:rPr>
        <w:t>“苏政40条”“苏政办22条”</w:t>
      </w:r>
      <w:r>
        <w:rPr>
          <w:rFonts w:hint="eastAsia"/>
          <w:lang w:val="en-US" w:eastAsia="zh-CN"/>
        </w:rPr>
        <w:t>，各地各部门细化落实各项措施，推动</w:t>
      </w:r>
      <w:r>
        <w:rPr>
          <w:rFonts w:hint="eastAsia"/>
          <w:b/>
          <w:bCs/>
          <w:lang w:val="en-US" w:eastAsia="zh-CN"/>
        </w:rPr>
        <w:t>助企纾困政策精准滴灌</w:t>
      </w:r>
      <w:r>
        <w:rPr>
          <w:rFonts w:hint="eastAsia"/>
          <w:lang w:val="en-US" w:eastAsia="zh-CN"/>
        </w:rPr>
        <w:t>，</w:t>
      </w:r>
      <w:r>
        <w:rPr>
          <w:rFonts w:hint="eastAsia"/>
          <w:b/>
          <w:bCs/>
          <w:lang w:val="en-US" w:eastAsia="zh-CN"/>
        </w:rPr>
        <w:t>助企业渡难关</w:t>
      </w:r>
      <w:r>
        <w:rPr>
          <w:rFonts w:hint="eastAsia"/>
          <w:lang w:val="en-US" w:eastAsia="zh-CN"/>
        </w:rPr>
        <w:t>。随着稳经济一揽子政策措施的深化落实，全省经济运行呈现快速恢复、回稳向上态势。最新数据显示，截至9月底，全省市场主体总数达1393.6万户，同比增长4.1%。</w:t>
      </w:r>
    </w:p>
    <w:p>
      <w:pPr>
        <w:bidi w:val="0"/>
        <w:rPr>
          <w:rFonts w:hint="eastAsia"/>
          <w:lang w:val="en-US" w:eastAsia="zh-CN"/>
        </w:rPr>
      </w:pPr>
      <w:r>
        <w:rPr>
          <w:rFonts w:hint="eastAsia"/>
          <w:lang w:val="en-US" w:eastAsia="zh-CN"/>
        </w:rPr>
        <w:t>21.党的二十大报告提出，加快构建以国内大循环为主体、国内国际双循环相互促进的新发展格局。增强国内大循环内生动力和可靠性，提升国际循环质量和水平。作为畅通铁路运输“最后一公里”的重要设施,</w:t>
      </w:r>
      <w:r>
        <w:rPr>
          <w:rFonts w:hint="eastAsia"/>
          <w:b/>
          <w:bCs/>
          <w:lang w:val="en-US" w:eastAsia="zh-CN"/>
        </w:rPr>
        <w:t>今年1-10月,全省铁路专支线建设累计完成投资57.007亿元，占年度投资计划69亿元的82.62%。</w:t>
      </w:r>
      <w:r>
        <w:rPr>
          <w:rFonts w:hint="eastAsia"/>
          <w:lang w:val="en-US" w:eastAsia="zh-CN"/>
        </w:rPr>
        <w:t>当前，江苏着力提升综合交通运输服务水平和效益，积极推动以铁路为骨干的多式联运发展，进一步加快构建新发展格局，推进港产城深度融合。</w:t>
      </w:r>
    </w:p>
    <w:p>
      <w:pPr>
        <w:bidi w:val="0"/>
        <w:rPr>
          <w:rFonts w:hint="eastAsia"/>
          <w:b/>
          <w:bCs/>
          <w:lang w:val="en-US" w:eastAsia="zh-CN"/>
        </w:rPr>
      </w:pPr>
      <w:r>
        <w:rPr>
          <w:rFonts w:hint="eastAsia"/>
          <w:lang w:val="en-US" w:eastAsia="zh-CN"/>
        </w:rPr>
        <w:t>22.11月8日上午9时，备受关注的</w:t>
      </w:r>
      <w:r>
        <w:rPr>
          <w:rFonts w:hint="eastAsia"/>
          <w:b/>
          <w:bCs/>
          <w:lang w:val="en-US" w:eastAsia="zh-CN"/>
        </w:rPr>
        <w:t>2023年度江苏省公务员招录考试</w:t>
      </w:r>
      <w:r>
        <w:rPr>
          <w:rFonts w:hint="eastAsia"/>
          <w:lang w:val="en-US" w:eastAsia="zh-CN"/>
        </w:rPr>
        <w:t>正式开启报名通道。本次共编制</w:t>
      </w:r>
      <w:r>
        <w:rPr>
          <w:rFonts w:hint="eastAsia"/>
          <w:b/>
          <w:bCs/>
          <w:lang w:val="en-US" w:eastAsia="zh-CN"/>
        </w:rPr>
        <w:t>9272个录用计</w:t>
      </w:r>
      <w:r>
        <w:rPr>
          <w:rFonts w:hint="eastAsia"/>
          <w:lang w:val="en-US" w:eastAsia="zh-CN"/>
        </w:rPr>
        <w:t>划，招录人数处于历史第二高位，仅次于去年。</w:t>
      </w:r>
      <w:r>
        <w:rPr>
          <w:rFonts w:hint="eastAsia"/>
          <w:b/>
          <w:bCs/>
          <w:lang w:val="en-US" w:eastAsia="zh-CN"/>
        </w:rPr>
        <w:t>902个职位</w:t>
      </w:r>
      <w:r>
        <w:rPr>
          <w:rFonts w:hint="eastAsia"/>
          <w:lang w:val="en-US" w:eastAsia="zh-CN"/>
        </w:rPr>
        <w:t>定向招录2023年普通高校</w:t>
      </w:r>
      <w:r>
        <w:rPr>
          <w:rFonts w:hint="eastAsia"/>
          <w:b/>
          <w:bCs/>
          <w:lang w:val="en-US" w:eastAsia="zh-CN"/>
        </w:rPr>
        <w:t>应届毕业生</w:t>
      </w:r>
      <w:r>
        <w:rPr>
          <w:rFonts w:hint="eastAsia"/>
          <w:lang w:val="en-US" w:eastAsia="zh-CN"/>
        </w:rPr>
        <w:t>，</w:t>
      </w:r>
      <w:r>
        <w:rPr>
          <w:rFonts w:hint="eastAsia"/>
          <w:b/>
          <w:bCs/>
          <w:lang w:val="en-US" w:eastAsia="zh-CN"/>
        </w:rPr>
        <w:t>占全部录用计划的12.63%。</w:t>
      </w:r>
    </w:p>
    <w:p>
      <w:pPr>
        <w:bidi w:val="0"/>
        <w:rPr>
          <w:rFonts w:hint="eastAsia"/>
          <w:lang w:val="en-US" w:eastAsia="zh-CN"/>
        </w:rPr>
      </w:pPr>
      <w:r>
        <w:rPr>
          <w:rFonts w:hint="eastAsia"/>
          <w:lang w:val="en-US" w:eastAsia="zh-CN"/>
        </w:rPr>
        <w:t>23.江苏省政府办公厅日前印发</w:t>
      </w:r>
      <w:r>
        <w:rPr>
          <w:rFonts w:hint="eastAsia"/>
          <w:b/>
          <w:bCs/>
          <w:lang w:val="en-US" w:eastAsia="zh-CN"/>
        </w:rPr>
        <w:t>《关于进一步优化营商环境 降低市场主体制度性交易成本任务分工方案的通知》（</w:t>
      </w:r>
      <w:r>
        <w:rPr>
          <w:rFonts w:hint="eastAsia"/>
          <w:lang w:val="en-US" w:eastAsia="zh-CN"/>
        </w:rPr>
        <w:t>以下简称《方案》），明确了五个方面23项任务84条落实举措，着力破解市场主体运营中的体制性障碍、制度性成本等问题。11月8日，江苏省政府召开新闻发布会对《方案》进行解读。</w:t>
      </w:r>
    </w:p>
    <w:p>
      <w:pPr>
        <w:bidi w:val="0"/>
        <w:rPr>
          <w:rFonts w:hint="eastAsia"/>
          <w:lang w:val="en-US" w:eastAsia="zh-CN"/>
        </w:rPr>
      </w:pPr>
      <w:r>
        <w:rPr>
          <w:rFonts w:hint="eastAsia"/>
          <w:lang w:val="en-US" w:eastAsia="zh-CN"/>
        </w:rPr>
        <w:t>24.11月10日电，前三季度全省10亿元以上在建项目2773个，同比增长15.2%，扭住重大项目“牛鼻子”，积蓄发展强动能。</w:t>
      </w:r>
    </w:p>
    <w:p>
      <w:pPr>
        <w:bidi w:val="0"/>
        <w:rPr>
          <w:rFonts w:hint="eastAsia"/>
          <w:lang w:val="en-US" w:eastAsia="zh-CN"/>
        </w:rPr>
      </w:pPr>
      <w:r>
        <w:rPr>
          <w:rFonts w:hint="eastAsia"/>
          <w:lang w:val="en-US" w:eastAsia="zh-CN"/>
        </w:rPr>
        <w:t>25.11月9日，</w:t>
      </w:r>
      <w:r>
        <w:rPr>
          <w:rFonts w:hint="eastAsia"/>
          <w:b/>
          <w:bCs/>
          <w:lang w:val="en-US" w:eastAsia="zh-CN"/>
        </w:rPr>
        <w:t>中国·江苏第八届国际产学研合作论坛暨跨国技术转移大会</w:t>
      </w:r>
      <w:r>
        <w:rPr>
          <w:rFonts w:hint="eastAsia"/>
          <w:lang w:val="en-US" w:eastAsia="zh-CN"/>
        </w:rPr>
        <w:t>在</w:t>
      </w:r>
      <w:r>
        <w:rPr>
          <w:rFonts w:hint="eastAsia"/>
          <w:b/>
          <w:bCs/>
          <w:lang w:val="en-US" w:eastAsia="zh-CN"/>
        </w:rPr>
        <w:t>南京</w:t>
      </w:r>
      <w:r>
        <w:rPr>
          <w:rFonts w:hint="eastAsia"/>
          <w:lang w:val="en-US" w:eastAsia="zh-CN"/>
        </w:rPr>
        <w:t>开幕。大会由科技部、江苏省人民政府共同主办，</w:t>
      </w:r>
      <w:r>
        <w:rPr>
          <w:rFonts w:hint="eastAsia"/>
          <w:b/>
          <w:bCs/>
          <w:lang w:val="en-US" w:eastAsia="zh-CN"/>
        </w:rPr>
        <w:t>以“开放创新长三角、共同发展新机遇”为主题</w:t>
      </w:r>
      <w:r>
        <w:rPr>
          <w:rFonts w:hint="eastAsia"/>
          <w:lang w:val="en-US" w:eastAsia="zh-CN"/>
        </w:rPr>
        <w:t>，全面整合长三角地区的海外创新资源。</w:t>
      </w:r>
    </w:p>
    <w:p>
      <w:pPr>
        <w:bidi w:val="0"/>
        <w:rPr>
          <w:rFonts w:hint="eastAsia"/>
          <w:lang w:val="en-US" w:eastAsia="zh-CN"/>
        </w:rPr>
      </w:pPr>
      <w:r>
        <w:rPr>
          <w:rFonts w:hint="eastAsia"/>
          <w:lang w:val="en-US" w:eastAsia="zh-CN"/>
        </w:rPr>
        <w:t>26.11月9日是</w:t>
      </w:r>
      <w:r>
        <w:rPr>
          <w:rFonts w:hint="eastAsia"/>
          <w:b/>
          <w:bCs/>
          <w:lang w:val="en-US" w:eastAsia="zh-CN"/>
        </w:rPr>
        <w:t>第31个全国消防日</w:t>
      </w:r>
      <w:r>
        <w:rPr>
          <w:rFonts w:hint="eastAsia"/>
          <w:lang w:val="en-US" w:eastAsia="zh-CN"/>
        </w:rPr>
        <w:t>，今年活动的主题是</w:t>
      </w:r>
      <w:r>
        <w:rPr>
          <w:rFonts w:hint="eastAsia"/>
          <w:b/>
          <w:bCs/>
          <w:lang w:val="en-US" w:eastAsia="zh-CN"/>
        </w:rPr>
        <w:t>“抓消防安全，保高质量发展”</w:t>
      </w:r>
      <w:r>
        <w:rPr>
          <w:rFonts w:hint="eastAsia"/>
          <w:lang w:val="en-US" w:eastAsia="zh-CN"/>
        </w:rPr>
        <w:t>。</w:t>
      </w:r>
    </w:p>
    <w:p>
      <w:pPr>
        <w:bidi w:val="0"/>
        <w:rPr>
          <w:rFonts w:hint="eastAsia"/>
          <w:lang w:val="en-US" w:eastAsia="zh-CN"/>
        </w:rPr>
      </w:pPr>
      <w:r>
        <w:rPr>
          <w:rFonts w:hint="eastAsia"/>
          <w:lang w:val="en-US" w:eastAsia="zh-CN"/>
        </w:rPr>
        <w:t>27.11月9日，省政府召开稳定经济增长视频调度会议，认真学习贯彻党的二十大精神，全面落实“疫情要防住、经济要稳住、发展要安全”重大要求，研究分析当前经济形势，部署安排下一阶段重点任务，鼓足干劲、实干攻坚，以最大努力争取全年最好结果，为做好明年工作打基础。</w:t>
      </w:r>
    </w:p>
    <w:p>
      <w:pPr>
        <w:bidi w:val="0"/>
        <w:rPr>
          <w:rFonts w:hint="eastAsia"/>
          <w:lang w:val="en-US" w:eastAsia="zh-CN"/>
        </w:rPr>
      </w:pPr>
      <w:r>
        <w:rPr>
          <w:rFonts w:hint="eastAsia"/>
          <w:lang w:val="en-US" w:eastAsia="zh-CN"/>
        </w:rPr>
        <w:t>28.消费正呈现明显恢复态势。省统计局数据显示，前三季度全省实现社会消费品零售总额31635.1亿元，同比下降0.3%，降幅比1至8月、上半年分别收窄0.9个、3.4个百分点。其中，7月、8月、9月零售额分别增长2.4%、12.5%、6.9%，呈现明显恢复态势。</w:t>
      </w:r>
    </w:p>
    <w:p>
      <w:pPr>
        <w:bidi w:val="0"/>
        <w:rPr>
          <w:rFonts w:hint="eastAsia"/>
          <w:lang w:val="en-US" w:eastAsia="zh-CN"/>
        </w:rPr>
      </w:pPr>
      <w:r>
        <w:rPr>
          <w:rFonts w:hint="eastAsia"/>
          <w:lang w:val="en-US" w:eastAsia="zh-CN"/>
        </w:rPr>
        <w:t>29.据统计，</w:t>
      </w:r>
      <w:r>
        <w:rPr>
          <w:rFonts w:hint="eastAsia"/>
          <w:b/>
          <w:bCs/>
          <w:lang w:val="en-US" w:eastAsia="zh-CN"/>
        </w:rPr>
        <w:t>今年前10个月</w:t>
      </w:r>
      <w:r>
        <w:rPr>
          <w:rFonts w:hint="eastAsia"/>
          <w:lang w:val="en-US" w:eastAsia="zh-CN"/>
        </w:rPr>
        <w:t>，江苏省外贸进出口总值4.54万亿元，</w:t>
      </w:r>
      <w:r>
        <w:rPr>
          <w:rFonts w:hint="eastAsia"/>
          <w:b/>
          <w:bCs/>
          <w:lang w:val="en-US" w:eastAsia="zh-CN"/>
        </w:rPr>
        <w:t>比去年同期增长8.5%</w:t>
      </w:r>
      <w:r>
        <w:rPr>
          <w:rFonts w:hint="eastAsia"/>
          <w:lang w:val="en-US" w:eastAsia="zh-CN"/>
        </w:rPr>
        <w:t>，占同期全国进出口总值的13.1%。</w:t>
      </w:r>
    </w:p>
    <w:p>
      <w:pPr>
        <w:bidi w:val="0"/>
        <w:rPr>
          <w:rFonts w:hint="eastAsia"/>
          <w:lang w:val="en-US" w:eastAsia="zh-CN"/>
        </w:rPr>
      </w:pPr>
      <w:r>
        <w:rPr>
          <w:rFonts w:hint="eastAsia"/>
          <w:lang w:val="en-US" w:eastAsia="zh-CN"/>
        </w:rPr>
        <w:t>30.今年前三季度，全省以设区市为单位启动价格补贴联动机制18次、发放一次性价格补贴7次，共发放价格补贴</w:t>
      </w:r>
      <w:r>
        <w:rPr>
          <w:rFonts w:hint="eastAsia"/>
          <w:b/>
          <w:bCs/>
          <w:lang w:val="en-US" w:eastAsia="zh-CN"/>
        </w:rPr>
        <w:t>2.93亿元</w:t>
      </w:r>
      <w:r>
        <w:rPr>
          <w:rFonts w:hint="eastAsia"/>
          <w:lang w:val="en-US" w:eastAsia="zh-CN"/>
        </w:rPr>
        <w:t>，惠及困难群众332.89万人次。我省价格补贴范围已扩大到低保人员，特困供养人员，领取失业保险金人员，享受国家抚恤补助的优抚对象，孤儿、事实无人抚养儿童、艾滋病病毒感染儿童五类群体七类人员。南京、徐州、常州、苏州等地还将困难职工家庭、大龄就业困难人员等纳入保障范围。</w:t>
      </w:r>
    </w:p>
    <w:p>
      <w:pPr>
        <w:bidi w:val="0"/>
        <w:rPr>
          <w:rFonts w:hint="eastAsia"/>
          <w:lang w:val="en-US" w:eastAsia="zh-CN"/>
        </w:rPr>
      </w:pPr>
      <w:r>
        <w:rPr>
          <w:rFonts w:hint="eastAsia"/>
          <w:lang w:val="en-US" w:eastAsia="zh-CN"/>
        </w:rPr>
        <w:t>31.省人大常委会办公厅11月11日发布公告，公开征集对省政府</w:t>
      </w:r>
      <w:r>
        <w:rPr>
          <w:rFonts w:hint="eastAsia"/>
          <w:b/>
          <w:bCs/>
          <w:lang w:val="en-US" w:eastAsia="zh-CN"/>
        </w:rPr>
        <w:t>2022年度民生实事项目实施情况及2023年度民生实事项目安排的意见建议</w:t>
      </w:r>
      <w:r>
        <w:rPr>
          <w:rFonts w:hint="eastAsia"/>
          <w:lang w:val="en-US" w:eastAsia="zh-CN"/>
        </w:rPr>
        <w:t>。为保障人民群众对人大工作的知情权、参与权、表达权、监督权，提升人大监督工作针对性和实效性，自公告之日起至今年12月5日止，向社会公开征集对2022年度省政府民生实事项目完成情况存在的主要问题及改进意见，对12类50项民生实事项目进行满意度评价，并对2023年度省政府民生实事项目安排提出意见和建议。</w:t>
      </w:r>
    </w:p>
    <w:p>
      <w:pPr>
        <w:bidi w:val="0"/>
        <w:rPr>
          <w:rFonts w:hint="eastAsia"/>
          <w:lang w:val="en-US" w:eastAsia="zh-CN"/>
        </w:rPr>
      </w:pPr>
      <w:r>
        <w:rPr>
          <w:rFonts w:hint="eastAsia"/>
          <w:lang w:val="en-US" w:eastAsia="zh-CN"/>
        </w:rPr>
        <w:t>32.</w:t>
      </w:r>
      <w:r>
        <w:rPr>
          <w:rFonts w:hint="eastAsia"/>
          <w:b/>
          <w:bCs/>
          <w:lang w:val="en-US" w:eastAsia="zh-CN"/>
        </w:rPr>
        <w:t>首届长三角跨境电商行业发展峰会暨交易会</w:t>
      </w:r>
      <w:r>
        <w:rPr>
          <w:rFonts w:hint="eastAsia"/>
          <w:b w:val="0"/>
          <w:bCs w:val="0"/>
          <w:lang w:val="en-US" w:eastAsia="zh-CN"/>
        </w:rPr>
        <w:t>11月</w:t>
      </w:r>
      <w:r>
        <w:rPr>
          <w:rFonts w:hint="eastAsia"/>
          <w:lang w:val="en-US" w:eastAsia="zh-CN"/>
        </w:rPr>
        <w:t>11日在无锡开幕。面向长三角广大跨境电商和外贸企业，无锡市推出的电子元器件国际分拨中心、互联网营销、跨境电商云展、汽车零部件数字贸易、数字直播等五大公共服务平台当日启动，旨在推动长三角跨境电商一体化发展。峰会暨交易会以</w:t>
      </w:r>
      <w:r>
        <w:rPr>
          <w:rFonts w:hint="eastAsia"/>
          <w:b/>
          <w:bCs/>
          <w:lang w:val="en-US" w:eastAsia="zh-CN"/>
        </w:rPr>
        <w:t>“品质长三角 跨境新征程”</w:t>
      </w:r>
      <w:r>
        <w:rPr>
          <w:rFonts w:hint="eastAsia"/>
          <w:lang w:val="en-US" w:eastAsia="zh-CN"/>
        </w:rPr>
        <w:t>为主题。</w:t>
      </w:r>
    </w:p>
    <w:p>
      <w:pPr>
        <w:bidi w:val="0"/>
        <w:rPr>
          <w:rFonts w:hint="eastAsia"/>
          <w:lang w:val="en-US" w:eastAsia="zh-CN"/>
        </w:rPr>
      </w:pPr>
      <w:r>
        <w:rPr>
          <w:rFonts w:hint="eastAsia"/>
          <w:lang w:val="en-US" w:eastAsia="zh-CN"/>
        </w:rPr>
        <w:t>33.11月12日，省暨南京市各界人士前往中山陵举行谒陵仪式，纪念伟大的民族英雄、伟大的爱国主义者、中国民主革命的伟大先驱</w:t>
      </w:r>
      <w:r>
        <w:rPr>
          <w:rFonts w:hint="eastAsia"/>
          <w:b/>
          <w:bCs/>
          <w:lang w:val="en-US" w:eastAsia="zh-CN"/>
        </w:rPr>
        <w:t>孙中山先生诞辰156周年</w:t>
      </w:r>
      <w:r>
        <w:rPr>
          <w:rFonts w:hint="eastAsia"/>
          <w:lang w:val="en-US" w:eastAsia="zh-CN"/>
        </w:rPr>
        <w:t>。</w:t>
      </w:r>
    </w:p>
    <w:p>
      <w:pPr>
        <w:bidi w:val="0"/>
        <w:rPr>
          <w:rFonts w:hint="eastAsia"/>
          <w:lang w:val="en-US" w:eastAsia="zh-CN"/>
        </w:rPr>
      </w:pPr>
      <w:r>
        <w:rPr>
          <w:rFonts w:hint="eastAsia"/>
          <w:lang w:val="en-US" w:eastAsia="zh-CN"/>
        </w:rPr>
        <w:t>34.11月13日10时，江苏</w:t>
      </w:r>
      <w:r>
        <w:rPr>
          <w:rFonts w:hint="eastAsia"/>
          <w:b/>
          <w:bCs/>
          <w:lang w:val="en-US" w:eastAsia="zh-CN"/>
        </w:rPr>
        <w:t>南水北调工程</w:t>
      </w:r>
      <w:r>
        <w:rPr>
          <w:rFonts w:hint="eastAsia"/>
          <w:lang w:val="en-US" w:eastAsia="zh-CN"/>
        </w:rPr>
        <w:t>集中控制中心一声令下，江都站、宝应站、金湖站、洪泽站、泗洪站、睢宁二站、邳州站、泗阳站、刘老涧二站、皂河二站等10座大型泵站，由南向北依次开机运行，江苏南水北调2022—2023年度向省外调水工作正式启动。</w:t>
      </w:r>
    </w:p>
    <w:p>
      <w:pPr>
        <w:bidi w:val="0"/>
        <w:rPr>
          <w:rFonts w:hint="eastAsia"/>
          <w:lang w:val="en-US" w:eastAsia="zh-CN"/>
        </w:rPr>
      </w:pPr>
      <w:r>
        <w:rPr>
          <w:rFonts w:hint="eastAsia"/>
          <w:lang w:val="en-US" w:eastAsia="zh-CN"/>
        </w:rPr>
        <w:t>35.公路是江苏综合交通运输体系的基础和率先发展的领域，目前，</w:t>
      </w:r>
      <w:r>
        <w:rPr>
          <w:rFonts w:hint="eastAsia"/>
          <w:b/>
          <w:bCs/>
          <w:lang w:val="en-US" w:eastAsia="zh-CN"/>
        </w:rPr>
        <w:t>全省联网高速总里程5054公里</w:t>
      </w:r>
      <w:r>
        <w:rPr>
          <w:rFonts w:hint="eastAsia"/>
          <w:lang w:val="en-US" w:eastAsia="zh-CN"/>
        </w:rPr>
        <w:t>，路网密度居全国前列。与此同时，部分路段处于超负荷状态。党的二十大报告提出：优化基础设施布局、结构、功能和系统集成，构建现代化基础设施体系。当前，江苏以存量挖掘、新增优质增量和完善整体布局为重点，扩容改造繁忙通道。结合路网运行情况及地方诉求，江苏省交通运输厅、江苏交通控股有限公司超前谋划，已将</w:t>
      </w:r>
      <w:r>
        <w:rPr>
          <w:rFonts w:hint="eastAsia"/>
          <w:b/>
          <w:bCs/>
          <w:lang w:val="en-US" w:eastAsia="zh-CN"/>
        </w:rPr>
        <w:t>新扬高速公路宿迁枢纽至黄花塘枢纽段、盐靖高速公路新兴枢纽至广陵枢纽段等9条高速列入扩建计划</w:t>
      </w:r>
      <w:r>
        <w:rPr>
          <w:rFonts w:hint="eastAsia"/>
          <w:lang w:val="en-US" w:eastAsia="zh-CN"/>
        </w:rPr>
        <w:t>。</w:t>
      </w:r>
    </w:p>
    <w:p>
      <w:pPr>
        <w:bidi w:val="0"/>
        <w:rPr>
          <w:rFonts w:hint="default"/>
          <w:lang w:val="en-US" w:eastAsia="zh-CN"/>
        </w:rPr>
      </w:pPr>
      <w:r>
        <w:rPr>
          <w:rFonts w:hint="eastAsia"/>
          <w:lang w:val="en-US" w:eastAsia="zh-CN"/>
        </w:rPr>
        <w:t>36.11月14日，省政府召开专题会议，认真学习贯彻党的二十大精神，深入落实习近平总书记关于网络强国的重要思想和数字政府建设的重要指示精神，按照全省数字经济发展推进会议部署要求，</w:t>
      </w:r>
      <w:r>
        <w:rPr>
          <w:rFonts w:hint="eastAsia"/>
          <w:b/>
          <w:bCs/>
          <w:lang w:val="en-US" w:eastAsia="zh-CN"/>
        </w:rPr>
        <w:t>研究推进设区市政府数字化转型工作，加快建设现代数字政府，全面提升数字化治理能力</w:t>
      </w:r>
      <w:r>
        <w:rPr>
          <w:rFonts w:hint="eastAsia"/>
          <w:lang w:val="en-US" w:eastAsia="zh-CN"/>
        </w:rPr>
        <w:t>。</w:t>
      </w:r>
    </w:p>
    <w:p>
      <w:pPr>
        <w:pStyle w:val="8"/>
        <w:shd w:val="clear" w:fill="F1F1F1" w:themeFill="background1" w:themeFillShade="F2"/>
        <w:bidi w:val="0"/>
        <w:rPr>
          <w:rFonts w:hint="eastAsia"/>
          <w:lang w:eastAsia="zh-CN"/>
        </w:rPr>
      </w:pPr>
      <w:r>
        <w:rPr>
          <w:rFonts w:hint="eastAsia"/>
          <w:lang w:eastAsia="zh-CN"/>
        </w:rPr>
        <w:t>【安徽】</w:t>
      </w:r>
    </w:p>
    <w:p>
      <w:pPr>
        <w:rPr>
          <w:rFonts w:hint="eastAsia"/>
          <w:lang w:val="en-US" w:eastAsia="zh-CN"/>
        </w:rPr>
      </w:pPr>
      <w:r>
        <w:rPr>
          <w:rFonts w:hint="eastAsia"/>
          <w:lang w:val="en-US" w:eastAsia="zh-CN"/>
        </w:rPr>
        <w:t>1.</w:t>
      </w:r>
      <w:r>
        <w:rPr>
          <w:rFonts w:hint="eastAsia"/>
          <w:b/>
          <w:bCs/>
          <w:lang w:val="en-US" w:eastAsia="zh-CN"/>
        </w:rPr>
        <w:t>5662.9亿元</w:t>
      </w:r>
      <w:r>
        <w:rPr>
          <w:rFonts w:hint="eastAsia"/>
          <w:lang w:val="en-US" w:eastAsia="zh-CN"/>
        </w:rPr>
        <w:t>！这是前三季度我省</w:t>
      </w:r>
      <w:r>
        <w:rPr>
          <w:rFonts w:hint="eastAsia"/>
          <w:b/>
          <w:bCs/>
          <w:lang w:val="en-US" w:eastAsia="zh-CN"/>
        </w:rPr>
        <w:t>外贸进出口</w:t>
      </w:r>
      <w:r>
        <w:rPr>
          <w:rFonts w:hint="eastAsia"/>
          <w:lang w:val="en-US" w:eastAsia="zh-CN"/>
        </w:rPr>
        <w:t>交出的成绩单。同比看，</w:t>
      </w:r>
      <w:r>
        <w:rPr>
          <w:rFonts w:hint="eastAsia"/>
          <w:b/>
          <w:bCs/>
          <w:lang w:val="en-US" w:eastAsia="zh-CN"/>
        </w:rPr>
        <w:t>增长13.5%</w:t>
      </w:r>
      <w:r>
        <w:rPr>
          <w:rFonts w:hint="eastAsia"/>
          <w:lang w:val="en-US" w:eastAsia="zh-CN"/>
        </w:rPr>
        <w:t>；与全国比，增速高出3.6个百分点。</w:t>
      </w:r>
    </w:p>
    <w:p>
      <w:pPr>
        <w:rPr>
          <w:rFonts w:hint="eastAsia"/>
          <w:lang w:val="en-US" w:eastAsia="zh-CN"/>
        </w:rPr>
      </w:pPr>
      <w:r>
        <w:rPr>
          <w:rFonts w:hint="eastAsia"/>
          <w:lang w:val="en-US" w:eastAsia="zh-CN"/>
        </w:rPr>
        <w:t>2.11月1日下午，由省卫健委、省法宣办联合举办的</w:t>
      </w:r>
      <w:r>
        <w:rPr>
          <w:rFonts w:hint="eastAsia"/>
          <w:b/>
          <w:bCs/>
          <w:lang w:val="en-US" w:eastAsia="zh-CN"/>
        </w:rPr>
        <w:t>“卫生健康法律法规主题展览”在省法治宣传教育基地正式启动</w:t>
      </w:r>
      <w:r>
        <w:rPr>
          <w:rFonts w:hint="eastAsia"/>
          <w:lang w:val="en-US" w:eastAsia="zh-CN"/>
        </w:rPr>
        <w:t>。本次卫生健康法律法规展览主题为</w:t>
      </w:r>
      <w:r>
        <w:rPr>
          <w:rFonts w:hint="eastAsia"/>
          <w:b/>
          <w:bCs/>
          <w:lang w:val="en-US" w:eastAsia="zh-CN"/>
        </w:rPr>
        <w:t>“健康中国 法治保障”</w:t>
      </w:r>
      <w:r>
        <w:rPr>
          <w:rFonts w:hint="eastAsia"/>
          <w:lang w:val="en-US" w:eastAsia="zh-CN"/>
        </w:rPr>
        <w:t>，内容共分为5大板块，通过图文、视频的形式重点宣传《中华人民共和国基本医疗卫生与健康促进法》《中华人民共和国医师法》《中华人民共和国职业病防治法》《安徽省中医药条例》《安徽卫生健康这十年》</w:t>
      </w:r>
    </w:p>
    <w:p>
      <w:pPr>
        <w:rPr>
          <w:rFonts w:hint="eastAsia"/>
          <w:lang w:val="en-US" w:eastAsia="zh-CN"/>
        </w:rPr>
      </w:pPr>
      <w:r>
        <w:rPr>
          <w:rFonts w:hint="eastAsia"/>
          <w:lang w:val="en-US" w:eastAsia="zh-CN"/>
        </w:rPr>
        <w:t>3.11月1日晚，安徽省第十五届运动会开幕式在滁州市奥体中心举行。</w:t>
      </w:r>
    </w:p>
    <w:p>
      <w:pPr>
        <w:rPr>
          <w:rFonts w:hint="eastAsia"/>
          <w:lang w:val="en-US" w:eastAsia="zh-CN"/>
        </w:rPr>
      </w:pPr>
      <w:r>
        <w:rPr>
          <w:rFonts w:hint="eastAsia"/>
          <w:lang w:val="en-US" w:eastAsia="zh-CN"/>
        </w:rPr>
        <w:t>4.10月31日上午，</w:t>
      </w:r>
      <w:r>
        <w:rPr>
          <w:rFonts w:hint="eastAsia"/>
          <w:b/>
          <w:bCs/>
          <w:lang w:val="en-US" w:eastAsia="zh-CN"/>
        </w:rPr>
        <w:t>在上海至南京至合肥高速铁路</w:t>
      </w:r>
      <w:r>
        <w:rPr>
          <w:rFonts w:hint="eastAsia"/>
          <w:lang w:val="en-US" w:eastAsia="zh-CN"/>
        </w:rPr>
        <w:t>合肥肥东境内肥东特大桥施工现场，一台旋挖钻机启动机械钻头开钻第一桩，标志着上海至南京至合肥高速铁路安徽段进入实质性施工阶段。上海至南京至合肥高速铁路安徽段东端衔接江苏省南京市，向西经滁州市至合肥枢纽合肥南站，途经滁州市南谯区、全椒县与合肥市肥东县、包河区、瑶海区，引入合肥枢纽合肥南站。正线新建线路长约103公里，设计时速350公里，建设总工期5年。</w:t>
      </w:r>
    </w:p>
    <w:p>
      <w:pPr>
        <w:rPr>
          <w:rFonts w:hint="eastAsia"/>
          <w:lang w:val="en-US" w:eastAsia="zh-CN"/>
        </w:rPr>
      </w:pPr>
      <w:r>
        <w:rPr>
          <w:rFonts w:hint="eastAsia"/>
          <w:lang w:val="en-US" w:eastAsia="zh-CN"/>
        </w:rPr>
        <w:t>5.近期，淮北矿业股份有限公司</w:t>
      </w:r>
      <w:r>
        <w:rPr>
          <w:rFonts w:hint="eastAsia"/>
          <w:b/>
          <w:bCs/>
          <w:lang w:val="en-US" w:eastAsia="zh-CN"/>
        </w:rPr>
        <w:t>杨柳煤矿智能化示范矿井</w:t>
      </w:r>
      <w:r>
        <w:rPr>
          <w:rFonts w:hint="eastAsia"/>
          <w:lang w:val="en-US" w:eastAsia="zh-CN"/>
        </w:rPr>
        <w:t>顺利通过国家级智能化矿井专家组验收，达到Ⅱ类中级智能化示范煤矿建设水平。这是</w:t>
      </w:r>
      <w:r>
        <w:rPr>
          <w:rFonts w:hint="eastAsia"/>
          <w:b/>
          <w:bCs/>
          <w:lang w:val="en-US" w:eastAsia="zh-CN"/>
        </w:rPr>
        <w:t>我省第一座国家级智能化示范矿井</w:t>
      </w:r>
      <w:r>
        <w:rPr>
          <w:rFonts w:hint="eastAsia"/>
          <w:lang w:val="en-US" w:eastAsia="zh-CN"/>
        </w:rPr>
        <w:t>。</w:t>
      </w:r>
    </w:p>
    <w:p>
      <w:pPr>
        <w:rPr>
          <w:rFonts w:hint="eastAsia"/>
          <w:lang w:val="en-US" w:eastAsia="zh-CN"/>
        </w:rPr>
      </w:pPr>
      <w:r>
        <w:rPr>
          <w:rFonts w:hint="eastAsia"/>
          <w:lang w:val="en-US" w:eastAsia="zh-CN"/>
        </w:rPr>
        <w:t>6.11月1日上午，省长王清宪主持召开专题会议，研究深入学习贯彻党的二十大精神，</w:t>
      </w:r>
      <w:r>
        <w:rPr>
          <w:rFonts w:hint="eastAsia"/>
          <w:b/>
          <w:bCs/>
          <w:lang w:val="en-US" w:eastAsia="zh-CN"/>
        </w:rPr>
        <w:t>深化国资国企改革工作</w:t>
      </w:r>
      <w:r>
        <w:rPr>
          <w:rFonts w:hint="eastAsia"/>
          <w:lang w:val="en-US" w:eastAsia="zh-CN"/>
        </w:rPr>
        <w:t>。他强调，要按照二十大报告提出的要求，加快国有经济布局优化和结构调整，提升企业核心竞争力。认真落实省委部署，坚持系统思维、创新思维、开放思维，深化国资国企改革。</w:t>
      </w:r>
    </w:p>
    <w:p>
      <w:pPr>
        <w:rPr>
          <w:rFonts w:hint="eastAsia"/>
          <w:lang w:val="en-US" w:eastAsia="zh-CN"/>
        </w:rPr>
      </w:pPr>
      <w:r>
        <w:rPr>
          <w:rFonts w:hint="eastAsia"/>
          <w:lang w:val="en-US" w:eastAsia="zh-CN"/>
        </w:rPr>
        <w:t>7.近日，省委书记郑栅洁就做好我省疫情防控工作作出批示指出，要深入学习贯彻习近平总书记关于疫情防控工作的重要指示精神，全面落实党的二十大精神，</w:t>
      </w:r>
      <w:r>
        <w:rPr>
          <w:rFonts w:hint="eastAsia"/>
          <w:b/>
          <w:bCs/>
          <w:lang w:val="en-US" w:eastAsia="zh-CN"/>
        </w:rPr>
        <w:t>坚持“外防输入、内防反弹”总策略和“动态清零”总方针不动摇，精细精心、扎实用心、将心比心，让疫情防控工作既科学化又人性化</w:t>
      </w:r>
      <w:r>
        <w:rPr>
          <w:rFonts w:hint="eastAsia"/>
          <w:lang w:val="en-US" w:eastAsia="zh-CN"/>
        </w:rPr>
        <w:t>。</w:t>
      </w:r>
    </w:p>
    <w:p>
      <w:pPr>
        <w:rPr>
          <w:rFonts w:hint="eastAsia"/>
          <w:lang w:val="en-US" w:eastAsia="zh-CN"/>
        </w:rPr>
      </w:pPr>
      <w:r>
        <w:rPr>
          <w:rFonts w:hint="eastAsia"/>
          <w:lang w:val="en-US" w:eastAsia="zh-CN"/>
        </w:rPr>
        <w:t>8.11月2日至3日，省委常委集体赴</w:t>
      </w:r>
      <w:r>
        <w:rPr>
          <w:rFonts w:hint="eastAsia"/>
          <w:b/>
          <w:bCs/>
          <w:lang w:val="en-US" w:eastAsia="zh-CN"/>
        </w:rPr>
        <w:t>河南省安阳市红旗渠</w:t>
      </w:r>
      <w:r>
        <w:rPr>
          <w:rFonts w:hint="eastAsia"/>
          <w:lang w:val="en-US" w:eastAsia="zh-CN"/>
        </w:rPr>
        <w:t>进行学习考察，深入学习贯彻党的二十大精神和习近平总书记在陕西延安和河南安阳考察时的重要讲话精神，以实际行动衷心拥护“两个确立”、忠诚践行“两个维护”。</w:t>
      </w:r>
    </w:p>
    <w:p>
      <w:pPr>
        <w:rPr>
          <w:rFonts w:hint="eastAsia"/>
          <w:lang w:val="en-US" w:eastAsia="zh-CN"/>
        </w:rPr>
      </w:pPr>
      <w:r>
        <w:rPr>
          <w:rFonts w:hint="eastAsia"/>
          <w:lang w:val="en-US" w:eastAsia="zh-CN"/>
        </w:rPr>
        <w:t>9.11月2日至3日，副省长周喜安深入蚌埠、滁州市园区、企业及项目现场调研开放型经济发展，召开专题座谈会，</w:t>
      </w:r>
      <w:r>
        <w:rPr>
          <w:rFonts w:hint="eastAsia"/>
          <w:b/>
          <w:bCs/>
          <w:lang w:val="en-US" w:eastAsia="zh-CN"/>
        </w:rPr>
        <w:t>面向企业家、基层群众和一线工人宣讲党的二十大精神</w:t>
      </w:r>
      <w:r>
        <w:rPr>
          <w:rFonts w:hint="eastAsia"/>
          <w:lang w:val="en-US" w:eastAsia="zh-CN"/>
        </w:rPr>
        <w:t>。调研指出，要把学习宣传贯彻党的二十大精神作为当前和今后一个时期的首要政治任务。</w:t>
      </w:r>
    </w:p>
    <w:p>
      <w:pPr>
        <w:rPr>
          <w:rFonts w:hint="eastAsia"/>
          <w:lang w:val="en-US" w:eastAsia="zh-CN"/>
        </w:rPr>
      </w:pPr>
      <w:r>
        <w:rPr>
          <w:rFonts w:hint="eastAsia"/>
          <w:lang w:val="en-US" w:eastAsia="zh-CN"/>
        </w:rPr>
        <w:t>10.11月2日至3日，副省长杨光荣到安庆市宿松县、岳西县，深入园区、社区、企业、技工院校、人力资源服务机构等，宣讲党的二十大精神，围绕健全就业公共服务体系推进实施就业优先战略等开展调研。</w:t>
      </w:r>
    </w:p>
    <w:p>
      <w:pPr>
        <w:rPr>
          <w:rFonts w:hint="eastAsia"/>
          <w:lang w:val="en-US" w:eastAsia="zh-CN"/>
        </w:rPr>
      </w:pPr>
      <w:r>
        <w:rPr>
          <w:rFonts w:hint="eastAsia"/>
          <w:lang w:val="en-US" w:eastAsia="zh-CN"/>
        </w:rPr>
        <w:t>11.记者近日从省国资委获悉，今年以来，我省</w:t>
      </w:r>
      <w:r>
        <w:rPr>
          <w:rFonts w:hint="eastAsia"/>
          <w:b/>
          <w:bCs/>
          <w:lang w:val="en-US" w:eastAsia="zh-CN"/>
        </w:rPr>
        <w:t>国资国企系统</w:t>
      </w:r>
      <w:r>
        <w:rPr>
          <w:rFonts w:hint="eastAsia"/>
          <w:lang w:val="en-US" w:eastAsia="zh-CN"/>
        </w:rPr>
        <w:t>千方百计稳经营、扩投资、促改革、防风险，担当全省经济大盘“稳定器”“压舱石”。前三季度，省属企业实现工业总产值4044.6亿元，</w:t>
      </w:r>
      <w:r>
        <w:rPr>
          <w:rFonts w:hint="eastAsia"/>
          <w:b/>
          <w:bCs/>
          <w:lang w:val="en-US" w:eastAsia="zh-CN"/>
        </w:rPr>
        <w:t>同比增长9.4%</w:t>
      </w:r>
      <w:r>
        <w:rPr>
          <w:rFonts w:hint="eastAsia"/>
          <w:lang w:val="en-US" w:eastAsia="zh-CN"/>
        </w:rPr>
        <w:t>，持续24个月同比增长；实现营业总收入7217.4亿元，增速连续4个月加速回升；已交税费总额526.9亿元，同比增长19.4%。</w:t>
      </w:r>
    </w:p>
    <w:p>
      <w:pPr>
        <w:rPr>
          <w:rFonts w:hint="eastAsia"/>
          <w:lang w:val="en-US" w:eastAsia="zh-CN"/>
        </w:rPr>
      </w:pPr>
      <w:r>
        <w:rPr>
          <w:rFonts w:hint="eastAsia"/>
          <w:lang w:val="en-US" w:eastAsia="zh-CN"/>
        </w:rPr>
        <w:t>12.11月1日从省发展改革委获悉，近日，省发展改革委、省民政厅印发通知，明确社区老年助餐服务机构用电、用水、用气、用热执行居民价格。据测算，执行居民价格后，社区老年助餐服务机构用电、用水、用气、用热成本将分别降低约20%、22%、25%、35%。</w:t>
      </w:r>
    </w:p>
    <w:p>
      <w:pPr>
        <w:rPr>
          <w:rFonts w:hint="eastAsia"/>
          <w:lang w:val="en-US" w:eastAsia="zh-CN"/>
        </w:rPr>
      </w:pPr>
      <w:r>
        <w:rPr>
          <w:rFonts w:hint="eastAsia"/>
          <w:lang w:val="en-US" w:eastAsia="zh-CN"/>
        </w:rPr>
        <w:t>13.近日，记者从合肥海关获悉，今年前三季度，</w:t>
      </w:r>
      <w:r>
        <w:rPr>
          <w:rFonts w:hint="eastAsia"/>
          <w:b/>
          <w:bCs/>
          <w:lang w:val="en-US" w:eastAsia="zh-CN"/>
        </w:rPr>
        <w:t>安徽省综合保税区合计</w:t>
      </w:r>
      <w:r>
        <w:rPr>
          <w:rFonts w:hint="eastAsia"/>
          <w:lang w:val="en-US" w:eastAsia="zh-CN"/>
        </w:rPr>
        <w:t>进出口1021亿元，</w:t>
      </w:r>
      <w:r>
        <w:rPr>
          <w:rFonts w:hint="eastAsia"/>
          <w:b/>
          <w:bCs/>
          <w:lang w:val="en-US" w:eastAsia="zh-CN"/>
        </w:rPr>
        <w:t>同比增长30.1%，高于全省增速16.6个百分点</w:t>
      </w:r>
      <w:r>
        <w:rPr>
          <w:rFonts w:hint="eastAsia"/>
          <w:lang w:val="en-US" w:eastAsia="zh-CN"/>
        </w:rPr>
        <w:t>。其中，出口562.8亿元，增长41.2%；进口458.2亿元，增长18.6%。</w:t>
      </w:r>
    </w:p>
    <w:p>
      <w:pPr>
        <w:rPr>
          <w:rFonts w:hint="eastAsia"/>
          <w:lang w:val="en-US" w:eastAsia="zh-CN"/>
        </w:rPr>
      </w:pPr>
      <w:r>
        <w:rPr>
          <w:rFonts w:hint="eastAsia"/>
          <w:lang w:val="en-US" w:eastAsia="zh-CN"/>
        </w:rPr>
        <w:t>14.就业是最基本的民生。今年以来，我省强化就业优先政策，做好重点群体就业服务，积极拓宽就业渠道，持续完善公共就业服务体系，确保就业局势总体稳定。前三季度，我省城镇新增就业超62万人，</w:t>
      </w:r>
      <w:r>
        <w:rPr>
          <w:rFonts w:hint="eastAsia"/>
          <w:b/>
          <w:bCs/>
          <w:lang w:val="en-US" w:eastAsia="zh-CN"/>
        </w:rPr>
        <w:t>完成年度目标任务的95.43%，</w:t>
      </w:r>
      <w:r>
        <w:rPr>
          <w:rFonts w:hint="eastAsia"/>
          <w:lang w:val="en-US" w:eastAsia="zh-CN"/>
        </w:rPr>
        <w:t>超时序进度20.43个百分点。</w:t>
      </w:r>
    </w:p>
    <w:p>
      <w:pPr>
        <w:rPr>
          <w:rFonts w:hint="eastAsia"/>
          <w:lang w:val="en-US" w:eastAsia="zh-CN"/>
        </w:rPr>
      </w:pPr>
      <w:r>
        <w:rPr>
          <w:rFonts w:hint="eastAsia"/>
          <w:lang w:val="en-US" w:eastAsia="zh-CN"/>
        </w:rPr>
        <w:t>15.近日，省财政厅出台</w:t>
      </w:r>
      <w:r>
        <w:rPr>
          <w:rFonts w:hint="eastAsia"/>
          <w:b/>
          <w:bCs/>
          <w:lang w:val="en-US" w:eastAsia="zh-CN"/>
        </w:rPr>
        <w:t>《省级统筹市县2%土地出让收入用于乡村振兴资金管理办法》</w:t>
      </w:r>
      <w:r>
        <w:rPr>
          <w:rFonts w:hint="eastAsia"/>
          <w:lang w:val="en-US" w:eastAsia="zh-CN"/>
        </w:rPr>
        <w:t>，对省级统筹资金的口径、支持方向、使用范围和分配方法等进行了规范，进一步提高资金使用效益。</w:t>
      </w:r>
    </w:p>
    <w:p>
      <w:pPr>
        <w:rPr>
          <w:rFonts w:hint="eastAsia"/>
          <w:lang w:val="en-US" w:eastAsia="zh-CN"/>
        </w:rPr>
      </w:pPr>
      <w:r>
        <w:rPr>
          <w:rFonts w:hint="eastAsia"/>
          <w:lang w:val="en-US" w:eastAsia="zh-CN"/>
        </w:rPr>
        <w:t>16.近日，我省印发《关于推进木本油料产业发展若干措施》的通知，支持重点县（市、区）建设木本油料产业示范园。鼓励适宜种植油茶的地区在不改变林地属性和用途的前提下发展油茶林，对新造良种油茶林，按</w:t>
      </w:r>
      <w:r>
        <w:rPr>
          <w:rFonts w:hint="eastAsia"/>
          <w:b/>
          <w:bCs/>
          <w:lang w:val="en-US" w:eastAsia="zh-CN"/>
        </w:rPr>
        <w:t>每亩不低于800元标准给予一次性奖</w:t>
      </w:r>
      <w:r>
        <w:rPr>
          <w:rFonts w:hint="eastAsia"/>
          <w:lang w:val="en-US" w:eastAsia="zh-CN"/>
        </w:rPr>
        <w:t>补，将</w:t>
      </w:r>
      <w:r>
        <w:rPr>
          <w:rFonts w:hint="eastAsia"/>
          <w:b/>
          <w:bCs/>
          <w:lang w:val="en-US" w:eastAsia="zh-CN"/>
        </w:rPr>
        <w:t>木本油料林抚育</w:t>
      </w:r>
      <w:r>
        <w:rPr>
          <w:rFonts w:hint="eastAsia"/>
          <w:lang w:val="en-US" w:eastAsia="zh-CN"/>
        </w:rPr>
        <w:t>纳入</w:t>
      </w:r>
      <w:r>
        <w:rPr>
          <w:rFonts w:hint="eastAsia"/>
          <w:b/>
          <w:bCs/>
          <w:lang w:val="en-US" w:eastAsia="zh-CN"/>
        </w:rPr>
        <w:t>林业奖补范围</w:t>
      </w:r>
      <w:r>
        <w:rPr>
          <w:rFonts w:hint="eastAsia"/>
          <w:lang w:val="en-US" w:eastAsia="zh-CN"/>
        </w:rPr>
        <w:t>。</w:t>
      </w:r>
    </w:p>
    <w:p>
      <w:pPr>
        <w:rPr>
          <w:rFonts w:hint="eastAsia"/>
          <w:lang w:val="en-US" w:eastAsia="zh-CN"/>
        </w:rPr>
      </w:pPr>
      <w:r>
        <w:rPr>
          <w:rFonts w:hint="eastAsia"/>
          <w:lang w:val="en-US" w:eastAsia="zh-CN"/>
        </w:rPr>
        <w:t>17.11月4日晚，第五届中国国际进口博览会在国家会展中心（上海）开幕。我省共有1600余家单位、5500余人参加本届进博会。</w:t>
      </w:r>
    </w:p>
    <w:p>
      <w:pPr>
        <w:rPr>
          <w:rFonts w:hint="eastAsia"/>
          <w:lang w:val="en-US" w:eastAsia="zh-CN"/>
        </w:rPr>
      </w:pPr>
      <w:r>
        <w:rPr>
          <w:rFonts w:hint="eastAsia"/>
          <w:lang w:val="en-US" w:eastAsia="zh-CN"/>
        </w:rPr>
        <w:t>18.11月6日，</w:t>
      </w:r>
      <w:r>
        <w:rPr>
          <w:rFonts w:hint="eastAsia"/>
          <w:b/>
          <w:bCs/>
          <w:lang w:val="en-US" w:eastAsia="zh-CN"/>
        </w:rPr>
        <w:t>中国科学技术大学科技商学院</w:t>
      </w:r>
      <w:r>
        <w:rPr>
          <w:rFonts w:hint="eastAsia"/>
          <w:lang w:val="en-US" w:eastAsia="zh-CN"/>
        </w:rPr>
        <w:t>指导委员会召开第一次会议。中国科大科技商学院，由安徽省和中国科大合作共建。经过一年多的筹备，今天正式开学。科技商学院的创办，旨在推动解决科研和经济联系不紧密、“两张皮”问题，利用中国科大雄厚的科技研发和人才培养能力，以实践性、实战性、实效性为办学特色，跨学科培养“五懂”复合型科技产业组织人才，培养一批又一批有企业家精神的科学家和有科学家精神的企业家。</w:t>
      </w:r>
    </w:p>
    <w:p>
      <w:pPr>
        <w:rPr>
          <w:rFonts w:hint="eastAsia"/>
          <w:lang w:val="en-US" w:eastAsia="zh-CN"/>
        </w:rPr>
      </w:pPr>
      <w:r>
        <w:rPr>
          <w:rFonts w:hint="eastAsia"/>
          <w:lang w:val="en-US" w:eastAsia="zh-CN"/>
        </w:rPr>
        <w:t>19.11月5日，合肥高新区</w:t>
      </w:r>
      <w:r>
        <w:rPr>
          <w:rFonts w:hint="eastAsia"/>
          <w:b/>
          <w:bCs/>
          <w:lang w:val="en-US" w:eastAsia="zh-CN"/>
        </w:rPr>
        <w:t>《建设世界领先科技园区进一步支持科技创新若干政策举措》</w:t>
      </w:r>
      <w:r>
        <w:rPr>
          <w:rFonts w:hint="eastAsia"/>
          <w:lang w:val="en-US" w:eastAsia="zh-CN"/>
        </w:rPr>
        <w:t>正式发布，鼓励更多科创成果在合肥高新区生根发芽。</w:t>
      </w:r>
    </w:p>
    <w:p>
      <w:pPr>
        <w:rPr>
          <w:rFonts w:hint="eastAsia"/>
          <w:lang w:val="en-US" w:eastAsia="zh-CN"/>
        </w:rPr>
      </w:pPr>
      <w:r>
        <w:rPr>
          <w:rFonts w:hint="eastAsia"/>
          <w:lang w:val="en-US" w:eastAsia="zh-CN"/>
        </w:rPr>
        <w:t>20.11月7日，记者从省经信厅获悉</w:t>
      </w:r>
      <w:r>
        <w:rPr>
          <w:rFonts w:hint="eastAsia"/>
          <w:b/>
          <w:bCs/>
          <w:lang w:val="en-US" w:eastAsia="zh-CN"/>
        </w:rPr>
        <w:t>，2022世界集成电路大会</w:t>
      </w:r>
      <w:r>
        <w:rPr>
          <w:rFonts w:hint="eastAsia"/>
          <w:lang w:val="en-US" w:eastAsia="zh-CN"/>
        </w:rPr>
        <w:t>将于11月16日至18日在</w:t>
      </w:r>
      <w:r>
        <w:rPr>
          <w:rFonts w:hint="eastAsia"/>
          <w:b/>
          <w:bCs/>
          <w:lang w:val="en-US" w:eastAsia="zh-CN"/>
        </w:rPr>
        <w:t>合肥市</w:t>
      </w:r>
      <w:r>
        <w:rPr>
          <w:rFonts w:hint="eastAsia"/>
          <w:lang w:val="en-US" w:eastAsia="zh-CN"/>
        </w:rPr>
        <w:t>举行。</w:t>
      </w:r>
    </w:p>
    <w:p>
      <w:pPr>
        <w:rPr>
          <w:rFonts w:hint="eastAsia"/>
          <w:b/>
          <w:bCs/>
          <w:lang w:val="en-US" w:eastAsia="zh-CN"/>
        </w:rPr>
      </w:pPr>
      <w:r>
        <w:rPr>
          <w:rFonts w:hint="eastAsia"/>
          <w:lang w:val="en-US" w:eastAsia="zh-CN"/>
        </w:rPr>
        <w:t>21.近日，</w:t>
      </w:r>
      <w:r>
        <w:rPr>
          <w:rFonts w:hint="eastAsia"/>
          <w:b/>
          <w:bCs/>
          <w:lang w:val="en-US" w:eastAsia="zh-CN"/>
        </w:rPr>
        <w:t>《安徽省建筑节能降碳行动计划》</w:t>
      </w:r>
      <w:r>
        <w:rPr>
          <w:rFonts w:hint="eastAsia"/>
          <w:lang w:val="en-US" w:eastAsia="zh-CN"/>
        </w:rPr>
        <w:t>印发实施，在全省实施新建建筑能效提升行动、既有建筑运营降碳行动、建筑用能结构优化行动，大力发展绿色建筑、装配式建筑，优化建筑用能结构。</w:t>
      </w:r>
      <w:r>
        <w:rPr>
          <w:rFonts w:hint="eastAsia"/>
          <w:b/>
          <w:bCs/>
          <w:lang w:val="en-US" w:eastAsia="zh-CN"/>
        </w:rPr>
        <w:t>到2025年，全省建筑能效较2020年提升30%。</w:t>
      </w:r>
    </w:p>
    <w:p>
      <w:pPr>
        <w:rPr>
          <w:rFonts w:hint="eastAsia"/>
          <w:lang w:val="en-US" w:eastAsia="zh-CN"/>
        </w:rPr>
      </w:pPr>
      <w:r>
        <w:rPr>
          <w:rFonts w:hint="eastAsia"/>
          <w:lang w:val="en-US" w:eastAsia="zh-CN"/>
        </w:rPr>
        <w:t>22.近日，省发展改革委印发了《安徽省在重点工程项目中大力实施以工代赈促进当地群众就业增收实施方案》，其中提出，在重点工程建设中，按照“应用尽用、能用尽用”的原则，结合当地群众务工需求，挖掘主体工程建设及附属临建、工地服务保障、建后管护等方面用工潜力，尽可能多地通过实施以工代赈帮助当地群众就近就业增收。</w:t>
      </w:r>
    </w:p>
    <w:p>
      <w:pPr>
        <w:rPr>
          <w:rFonts w:hint="eastAsia"/>
          <w:lang w:val="en-US" w:eastAsia="zh-CN"/>
        </w:rPr>
      </w:pPr>
      <w:r>
        <w:rPr>
          <w:rFonts w:hint="eastAsia"/>
          <w:lang w:val="en-US" w:eastAsia="zh-CN"/>
        </w:rPr>
        <w:t>23.据海关统计，今年前三季度，安徽省出口高新技术产品1021.8亿元，与去年同期相比增长19.5%，占同期全省出口总值的</w:t>
      </w:r>
      <w:r>
        <w:rPr>
          <w:rFonts w:hint="eastAsia"/>
          <w:b/>
          <w:bCs/>
          <w:lang w:val="en-US" w:eastAsia="zh-CN"/>
        </w:rPr>
        <w:t>29.2%</w:t>
      </w:r>
      <w:r>
        <w:rPr>
          <w:rFonts w:hint="eastAsia"/>
          <w:lang w:val="en-US" w:eastAsia="zh-CN"/>
        </w:rPr>
        <w:t>。</w:t>
      </w:r>
    </w:p>
    <w:p>
      <w:pPr>
        <w:rPr>
          <w:rFonts w:hint="eastAsia"/>
          <w:lang w:val="en-US" w:eastAsia="zh-CN"/>
        </w:rPr>
      </w:pPr>
      <w:r>
        <w:rPr>
          <w:rFonts w:hint="eastAsia"/>
          <w:lang w:val="en-US" w:eastAsia="zh-CN"/>
        </w:rPr>
        <w:t>24.记者11月7日从省发展改革委获悉，近日，水利部印发通知，公布了全国水利工程移民安置高质量发展实践典型案例，并结集出版向全国推广。其中，我省</w:t>
      </w:r>
      <w:r>
        <w:rPr>
          <w:rFonts w:hint="eastAsia"/>
          <w:b/>
          <w:bCs/>
          <w:lang w:val="en-US" w:eastAsia="zh-CN"/>
        </w:rPr>
        <w:t>月潭水库、粮长门水库、下浒山水库</w:t>
      </w:r>
      <w:r>
        <w:rPr>
          <w:rFonts w:hint="eastAsia"/>
          <w:lang w:val="en-US" w:eastAsia="zh-CN"/>
        </w:rPr>
        <w:t>3个移民安置项目入选。</w:t>
      </w:r>
    </w:p>
    <w:p>
      <w:pPr>
        <w:rPr>
          <w:rFonts w:hint="eastAsia"/>
          <w:lang w:val="en-US" w:eastAsia="zh-CN"/>
        </w:rPr>
      </w:pPr>
      <w:r>
        <w:rPr>
          <w:rFonts w:hint="eastAsia"/>
          <w:lang w:val="en-US" w:eastAsia="zh-CN"/>
        </w:rPr>
        <w:t>25.11月8日，记者从省政府新闻办举行的新闻发布会上获悉，省财政厅、省农业农村厅、省林业局等6部门近日联合印发《安徽省“农业保险+一揽子金融产品”行动计划试点方案》。此次试点将有助于优化农村金融资源配置和组织体系，深化农业保险与信贷、担保、期货、基金等金融工具联动，形成“政银保担基”紧密合作、产业链供应链创新链资本链政策链多链协同的农村金融服务新机制，引导更多金融活水投入“三农”领域，更好服务一产“两强一增”行动。</w:t>
      </w:r>
    </w:p>
    <w:p>
      <w:pPr>
        <w:rPr>
          <w:rFonts w:hint="eastAsia"/>
          <w:lang w:val="en-US" w:eastAsia="zh-CN"/>
        </w:rPr>
      </w:pPr>
      <w:r>
        <w:rPr>
          <w:rFonts w:hint="eastAsia"/>
          <w:lang w:val="en-US" w:eastAsia="zh-CN"/>
        </w:rPr>
        <w:t>26.11月11日上午，由国家广播电视总局、安徽省人民政府主办的第六届中国国际动漫创意产业交易会在芜湖开幕。</w:t>
      </w:r>
    </w:p>
    <w:p>
      <w:pPr>
        <w:rPr>
          <w:rFonts w:hint="eastAsia"/>
          <w:lang w:val="en-US" w:eastAsia="zh-CN"/>
        </w:rPr>
      </w:pPr>
      <w:r>
        <w:rPr>
          <w:rFonts w:hint="eastAsia"/>
          <w:lang w:val="en-US" w:eastAsia="zh-CN"/>
        </w:rPr>
        <w:t>27.11月10日，记者从人民银行合肥中心支行获悉，截至9月末，全省人民币各项贷款余额66134.6亿元，同比增长15.4%，较去年同期提升2.9个百分点，增速高于全国平均水平4.2个百分点，列全国第2。前三季度各项贷款增加7983.6亿元，同比多增2192.6亿元。</w:t>
      </w:r>
    </w:p>
    <w:p>
      <w:pPr>
        <w:rPr>
          <w:rFonts w:hint="eastAsia"/>
          <w:lang w:val="en-US" w:eastAsia="zh-CN"/>
        </w:rPr>
      </w:pPr>
      <w:r>
        <w:rPr>
          <w:rFonts w:hint="eastAsia"/>
          <w:lang w:val="en-US" w:eastAsia="zh-CN"/>
        </w:rPr>
        <w:t>28.11月12日上午，以</w:t>
      </w:r>
      <w:r>
        <w:rPr>
          <w:rFonts w:hint="eastAsia"/>
          <w:b/>
          <w:bCs/>
          <w:lang w:val="en-US" w:eastAsia="zh-CN"/>
        </w:rPr>
        <w:t>“戎创新时代 奋进新征程”</w:t>
      </w:r>
      <w:r>
        <w:rPr>
          <w:rFonts w:hint="eastAsia"/>
          <w:lang w:val="en-US" w:eastAsia="zh-CN"/>
        </w:rPr>
        <w:t>为主题的全省退役军人专场招聘会暨军创企业展销会在滁州举行。</w:t>
      </w:r>
    </w:p>
    <w:p>
      <w:pPr>
        <w:rPr>
          <w:rFonts w:hint="eastAsia"/>
          <w:lang w:val="en-US" w:eastAsia="zh-CN"/>
        </w:rPr>
      </w:pPr>
      <w:r>
        <w:rPr>
          <w:rFonts w:hint="eastAsia"/>
          <w:lang w:val="en-US" w:eastAsia="zh-CN"/>
        </w:rPr>
        <w:t>29.11月11日从安徽省新闻出版局获悉，为期1个月的</w:t>
      </w:r>
      <w:r>
        <w:rPr>
          <w:rFonts w:hint="eastAsia"/>
          <w:b/>
          <w:bCs/>
          <w:lang w:val="en-US" w:eastAsia="zh-CN"/>
        </w:rPr>
        <w:t>“喜迎二十大·阅读新时代”</w:t>
      </w:r>
      <w:r>
        <w:rPr>
          <w:rFonts w:hint="eastAsia"/>
          <w:lang w:val="en-US" w:eastAsia="zh-CN"/>
        </w:rPr>
        <w:t>2022年全省图书销售惠民月活动，参与实体书店超千家，参与读者超过400万人次，拉动文化消费15423.36万元，惠民金额超过2700万元。</w:t>
      </w:r>
    </w:p>
    <w:p>
      <w:pPr>
        <w:rPr>
          <w:rFonts w:hint="default" w:eastAsia="宋体"/>
          <w:lang w:val="en-US" w:eastAsia="zh-CN"/>
        </w:rPr>
      </w:pPr>
      <w:r>
        <w:rPr>
          <w:rFonts w:hint="eastAsia"/>
          <w:lang w:val="en-US" w:eastAsia="zh-CN"/>
        </w:rPr>
        <w:t>30.11月14日，</w:t>
      </w:r>
      <w:r>
        <w:rPr>
          <w:rFonts w:hint="eastAsia"/>
          <w:b/>
          <w:bCs/>
          <w:lang w:val="en-US" w:eastAsia="zh-CN"/>
        </w:rPr>
        <w:t>中国公平竞争政策宣传周（安徽）启动仪式</w:t>
      </w:r>
      <w:r>
        <w:rPr>
          <w:rFonts w:hint="eastAsia"/>
          <w:lang w:val="en-US" w:eastAsia="zh-CN"/>
        </w:rPr>
        <w:t>在合肥市举行。副省长张曙光出席启动仪式，宣讲党的二十大精神，并就公平竞争政策实施提出要求。本次宣传周活动以</w:t>
      </w:r>
      <w:r>
        <w:rPr>
          <w:rFonts w:hint="eastAsia"/>
          <w:b/>
          <w:bCs/>
          <w:lang w:val="en-US" w:eastAsia="zh-CN"/>
        </w:rPr>
        <w:t>“统一大市场 公平竞未来”</w:t>
      </w:r>
      <w:r>
        <w:rPr>
          <w:rFonts w:hint="eastAsia"/>
          <w:lang w:val="en-US" w:eastAsia="zh-CN"/>
        </w:rPr>
        <w:t>为主题。</w:t>
      </w:r>
    </w:p>
    <w:p>
      <w:pPr>
        <w:rPr>
          <w:rFonts w:hint="eastAsia"/>
          <w:lang w:eastAsia="zh-CN"/>
        </w:rPr>
      </w:pPr>
    </w:p>
    <w:p>
      <w:pPr>
        <w:pStyle w:val="8"/>
        <w:shd w:val="clear" w:fill="F1F1F1" w:themeFill="background1" w:themeFillShade="F2"/>
        <w:bidi w:val="0"/>
        <w:rPr>
          <w:rFonts w:hint="eastAsia"/>
          <w:lang w:eastAsia="zh-CN"/>
        </w:rPr>
      </w:pPr>
      <w:r>
        <w:rPr>
          <w:rFonts w:hint="eastAsia"/>
          <w:lang w:eastAsia="zh-CN"/>
        </w:rPr>
        <w:t>【湖北】</w:t>
      </w:r>
    </w:p>
    <w:p>
      <w:pPr>
        <w:rPr>
          <w:rFonts w:hint="eastAsia"/>
          <w:lang w:val="en-US" w:eastAsia="zh-CN"/>
        </w:rPr>
      </w:pPr>
      <w:r>
        <w:rPr>
          <w:rFonts w:hint="eastAsia"/>
          <w:lang w:val="en-US" w:eastAsia="zh-CN"/>
        </w:rPr>
        <w:t>1.11月10日，</w:t>
      </w:r>
      <w:r>
        <w:rPr>
          <w:rFonts w:hint="eastAsia"/>
          <w:b/>
          <w:bCs/>
          <w:lang w:val="en-US" w:eastAsia="zh-CN"/>
        </w:rPr>
        <w:t>《湿地公约》</w:t>
      </w:r>
      <w:r>
        <w:rPr>
          <w:rFonts w:hint="eastAsia"/>
          <w:lang w:val="en-US" w:eastAsia="zh-CN"/>
        </w:rPr>
        <w:t>秘书处将向包括我国的安徽合肥、山东济宁、重庆梁平、江西南昌、辽宁盘锦、湖北武汉、江苏盐城在内的13个城市颁发国际湿地城市证书，这是城市湿地在生态保护领域的最高荣誉。据悉，2018年，我国黑龙江哈尔滨、海南海口、宁夏银川、湖南常德、江苏常熟、山东东营等首次获此殊荣，再加上此次通过认证的7个城市，</w:t>
      </w:r>
      <w:r>
        <w:rPr>
          <w:rFonts w:hint="eastAsia"/>
          <w:b/>
          <w:bCs/>
          <w:lang w:val="en-US" w:eastAsia="zh-CN"/>
        </w:rPr>
        <w:t>我国已有13个国际湿地城市</w:t>
      </w:r>
      <w:r>
        <w:rPr>
          <w:rFonts w:hint="eastAsia"/>
          <w:lang w:val="en-US" w:eastAsia="zh-CN"/>
        </w:rPr>
        <w:t>，</w:t>
      </w:r>
      <w:r>
        <w:rPr>
          <w:rFonts w:hint="eastAsia"/>
          <w:b/>
          <w:bCs/>
          <w:lang w:val="en-US" w:eastAsia="zh-CN"/>
        </w:rPr>
        <w:t>数量居世界首位</w:t>
      </w:r>
      <w:r>
        <w:rPr>
          <w:rFonts w:hint="eastAsia"/>
          <w:lang w:val="en-US" w:eastAsia="zh-CN"/>
        </w:rPr>
        <w:t>。</w:t>
      </w:r>
    </w:p>
    <w:p>
      <w:pPr>
        <w:rPr>
          <w:rFonts w:hint="eastAsia"/>
          <w:lang w:val="en-US" w:eastAsia="zh-CN"/>
        </w:rPr>
      </w:pPr>
      <w:r>
        <w:rPr>
          <w:rFonts w:hint="eastAsia"/>
          <w:lang w:val="en-US" w:eastAsia="zh-CN"/>
        </w:rPr>
        <w:t>2.11月4日上午，2022年四季度全省重大项目集中开工活动举行。据了解，今年前三季度，全省新开工项目13460个、增长58%，固定资产投资增长15.5%，</w:t>
      </w:r>
      <w:r>
        <w:rPr>
          <w:rFonts w:hint="eastAsia"/>
          <w:b/>
          <w:bCs/>
          <w:lang w:val="en-US" w:eastAsia="zh-CN"/>
        </w:rPr>
        <w:t>增速居全国第2</w:t>
      </w:r>
      <w:r>
        <w:rPr>
          <w:rFonts w:hint="eastAsia"/>
          <w:lang w:val="en-US" w:eastAsia="zh-CN"/>
        </w:rPr>
        <w:t>。四季度全省共集中开工亿元以上重大项目1997个、总投资10269亿元，其中百亿元以上项目10个、50亿元以上项目35个；武汉、襄阳、宜昌项目数均超过200个，总投资均超过千亿元。</w:t>
      </w:r>
    </w:p>
    <w:p>
      <w:pPr>
        <w:rPr>
          <w:rFonts w:hint="eastAsia"/>
          <w:lang w:val="en-US" w:eastAsia="zh-CN"/>
        </w:rPr>
      </w:pPr>
      <w:r>
        <w:rPr>
          <w:rFonts w:hint="eastAsia"/>
          <w:lang w:val="en-US" w:eastAsia="zh-CN"/>
        </w:rPr>
        <w:t>3.11月7日，庆祝</w:t>
      </w:r>
      <w:r>
        <w:rPr>
          <w:rFonts w:hint="eastAsia"/>
          <w:b/>
          <w:bCs/>
          <w:lang w:val="en-US" w:eastAsia="zh-CN"/>
        </w:rPr>
        <w:t>中国地质大学建校70周年</w:t>
      </w:r>
      <w:r>
        <w:rPr>
          <w:rFonts w:hint="eastAsia"/>
          <w:lang w:val="en-US" w:eastAsia="zh-CN"/>
        </w:rPr>
        <w:t>大会在汉举行。</w:t>
      </w:r>
    </w:p>
    <w:p>
      <w:pPr>
        <w:rPr>
          <w:rFonts w:hint="eastAsia"/>
          <w:lang w:val="en-US" w:eastAsia="zh-CN"/>
        </w:rPr>
      </w:pPr>
      <w:r>
        <w:rPr>
          <w:rFonts w:hint="eastAsia"/>
          <w:lang w:val="en-US" w:eastAsia="zh-CN"/>
        </w:rPr>
        <w:t>4.11月7日，第39届全国中学生物理竞赛决赛闭幕式在华中师范大学第一附属中学举行。</w:t>
      </w:r>
    </w:p>
    <w:p>
      <w:pPr>
        <w:rPr>
          <w:rFonts w:hint="eastAsia"/>
          <w:lang w:val="en-US" w:eastAsia="zh-CN"/>
        </w:rPr>
      </w:pPr>
      <w:r>
        <w:rPr>
          <w:rFonts w:hint="eastAsia"/>
          <w:lang w:val="en-US" w:eastAsia="zh-CN"/>
        </w:rPr>
        <w:t>5.11月9日，为深入学习贯彻党的二十大精神和习近平外交思想，推动中华文化更好走向世界，由国家广播电视总局、湖北省人民政府指导，湖北省委宣传部、省广播电视局主办的</w:t>
      </w:r>
      <w:r>
        <w:rPr>
          <w:rFonts w:hint="eastAsia"/>
          <w:b/>
          <w:bCs/>
          <w:lang w:val="en-US" w:eastAsia="zh-CN"/>
        </w:rPr>
        <w:t>“2022视听中国·日韩湖北传媒周”</w:t>
      </w:r>
      <w:r>
        <w:rPr>
          <w:rFonts w:hint="eastAsia"/>
          <w:lang w:val="en-US" w:eastAsia="zh-CN"/>
        </w:rPr>
        <w:t>在汉拉开帷幕，开幕式在湖北省博物馆举行。本次湖北传媒周活动以</w:t>
      </w:r>
      <w:r>
        <w:rPr>
          <w:rFonts w:hint="eastAsia"/>
          <w:b/>
          <w:bCs/>
          <w:lang w:val="en-US" w:eastAsia="zh-CN"/>
        </w:rPr>
        <w:t>“分享、交流、合作、创新”为主题</w:t>
      </w:r>
      <w:r>
        <w:rPr>
          <w:rFonts w:hint="eastAsia"/>
          <w:lang w:val="en-US" w:eastAsia="zh-CN"/>
        </w:rPr>
        <w:t>。</w:t>
      </w:r>
    </w:p>
    <w:p>
      <w:pPr>
        <w:rPr>
          <w:rFonts w:hint="eastAsia"/>
          <w:lang w:val="en-US" w:eastAsia="zh-CN"/>
        </w:rPr>
      </w:pPr>
      <w:r>
        <w:rPr>
          <w:rFonts w:hint="eastAsia"/>
          <w:lang w:val="en-US" w:eastAsia="zh-CN"/>
        </w:rPr>
        <w:t>6.11月11日，</w:t>
      </w:r>
      <w:r>
        <w:rPr>
          <w:rFonts w:hint="eastAsia"/>
          <w:b/>
          <w:bCs/>
          <w:lang w:val="en-US" w:eastAsia="zh-CN"/>
        </w:rPr>
        <w:t>全省全面深化政法改革推进会</w:t>
      </w:r>
      <w:r>
        <w:rPr>
          <w:rFonts w:hint="eastAsia"/>
          <w:lang w:val="en-US" w:eastAsia="zh-CN"/>
        </w:rPr>
        <w:t>在汉召开，由省委政法委组织推选出的湖北省政法改革十大典型案例新鲜出炉。</w:t>
      </w:r>
    </w:p>
    <w:p>
      <w:pPr>
        <w:rPr>
          <w:rFonts w:hint="eastAsia"/>
          <w:lang w:val="en-US" w:eastAsia="zh-CN"/>
        </w:rPr>
      </w:pPr>
      <w:r>
        <w:rPr>
          <w:rFonts w:hint="eastAsia"/>
          <w:lang w:val="en-US" w:eastAsia="zh-CN"/>
        </w:rPr>
        <w:t>7.11月15日至17日，</w:t>
      </w:r>
      <w:r>
        <w:rPr>
          <w:rFonts w:hint="eastAsia"/>
          <w:b/>
          <w:bCs/>
          <w:lang w:val="en-US" w:eastAsia="zh-CN"/>
        </w:rPr>
        <w:t>2022年华侨华人创业发展洽谈会（简称“华创会”）在武汉</w:t>
      </w:r>
      <w:r>
        <w:rPr>
          <w:rFonts w:hint="eastAsia"/>
          <w:lang w:val="en-US" w:eastAsia="zh-CN"/>
        </w:rPr>
        <w:t>举行，海内外嘉宾将如约而至，共襄华创情，共谱华创梦。本届华创会以“万侨同心、筑梦未来”为主题，由湖北省人民政府、国务院侨务办公室、武汉市人民政府共同主办。</w:t>
      </w:r>
    </w:p>
    <w:p>
      <w:pPr>
        <w:rPr>
          <w:rFonts w:hint="eastAsia"/>
          <w:lang w:val="en-US" w:eastAsia="zh-CN"/>
        </w:rPr>
      </w:pPr>
      <w:r>
        <w:rPr>
          <w:rFonts w:hint="eastAsia"/>
          <w:lang w:val="en-US" w:eastAsia="zh-CN"/>
        </w:rPr>
        <w:t>8.11月14日，省政府召开全省冬春农田水利建设暨秋冬“三农”重点工作推进电视电话会议。</w:t>
      </w:r>
    </w:p>
    <w:p>
      <w:pPr>
        <w:rPr>
          <w:rFonts w:hint="eastAsia"/>
          <w:lang w:eastAsia="zh-CN"/>
        </w:rPr>
      </w:pPr>
    </w:p>
    <w:p>
      <w:pPr>
        <w:pStyle w:val="8"/>
        <w:shd w:val="clear" w:fill="F1F1F1" w:themeFill="background1" w:themeFillShade="F2"/>
        <w:bidi w:val="0"/>
        <w:rPr>
          <w:rFonts w:hint="eastAsia"/>
          <w:lang w:eastAsia="zh-CN"/>
        </w:rPr>
      </w:pPr>
      <w:r>
        <w:rPr>
          <w:rFonts w:hint="eastAsia"/>
          <w:lang w:eastAsia="zh-CN"/>
        </w:rPr>
        <w:t>【江西】</w:t>
      </w:r>
    </w:p>
    <w:p>
      <w:pPr>
        <w:rPr>
          <w:rFonts w:hint="eastAsia"/>
          <w:lang w:val="en-US" w:eastAsia="zh-CN"/>
        </w:rPr>
      </w:pPr>
      <w:r>
        <w:rPr>
          <w:rFonts w:hint="eastAsia"/>
          <w:lang w:val="en-US" w:eastAsia="zh-CN"/>
        </w:rPr>
        <w:t>1.日前，省委办公厅、省政府办公厅印发《关于加强新时代关心下一代工作委员会工作的实施意见》。要发挥江西优势，用好用足江西红色资源，深入实施传承红色基因工程，扎实开展</w:t>
      </w:r>
      <w:r>
        <w:rPr>
          <w:rFonts w:hint="eastAsia"/>
          <w:b/>
          <w:bCs/>
          <w:lang w:val="en-US" w:eastAsia="zh-CN"/>
        </w:rPr>
        <w:t>“传承红色基因、弘扬井冈山精神”</w:t>
      </w:r>
      <w:r>
        <w:rPr>
          <w:rFonts w:hint="eastAsia"/>
          <w:lang w:val="en-US" w:eastAsia="zh-CN"/>
        </w:rPr>
        <w:t>系列主题教育活动，发挥红色教育基地作用，巩固拓展党史学习教育成果。</w:t>
      </w:r>
    </w:p>
    <w:p>
      <w:pPr>
        <w:rPr>
          <w:rFonts w:hint="eastAsia"/>
          <w:lang w:val="en-US" w:eastAsia="zh-CN"/>
        </w:rPr>
      </w:pPr>
      <w:r>
        <w:rPr>
          <w:rFonts w:hint="eastAsia"/>
          <w:lang w:val="en-US" w:eastAsia="zh-CN"/>
        </w:rPr>
        <w:t>2.11月2日，全省安全生产工作电视电话会议在南昌召开，深入学习贯彻党的二十大精神，分析研判全省安全生产形势和突出问题，安排部署下一步工作，提前谋划明年安全生产工作。</w:t>
      </w:r>
    </w:p>
    <w:p>
      <w:pPr>
        <w:rPr>
          <w:rFonts w:hint="eastAsia"/>
          <w:lang w:val="en-US" w:eastAsia="zh-CN"/>
        </w:rPr>
      </w:pPr>
      <w:r>
        <w:rPr>
          <w:rFonts w:hint="eastAsia"/>
          <w:lang w:val="en-US" w:eastAsia="zh-CN"/>
        </w:rPr>
        <w:t>3.在对全省813家营业收入超亿元的上规模民营企业开展充分调研后，以企业营业收入为依据，11月3日，省工商联发布</w:t>
      </w:r>
      <w:r>
        <w:rPr>
          <w:rFonts w:hint="eastAsia"/>
          <w:b/>
          <w:bCs/>
          <w:lang w:val="en-US" w:eastAsia="zh-CN"/>
        </w:rPr>
        <w:t>2022江西民营企业100强榜单</w:t>
      </w:r>
      <w:r>
        <w:rPr>
          <w:rFonts w:hint="eastAsia"/>
          <w:lang w:val="en-US" w:eastAsia="zh-CN"/>
        </w:rPr>
        <w:t>。</w:t>
      </w:r>
    </w:p>
    <w:p>
      <w:pPr>
        <w:rPr>
          <w:rFonts w:hint="eastAsia"/>
          <w:lang w:val="en-US" w:eastAsia="zh-CN"/>
        </w:rPr>
      </w:pPr>
      <w:r>
        <w:rPr>
          <w:rFonts w:hint="eastAsia"/>
          <w:lang w:val="en-US" w:eastAsia="zh-CN"/>
        </w:rPr>
        <w:t>4.热敏灸是我省中医药原始创新成果，是中医药领域的一张亮丽名片，</w:t>
      </w:r>
      <w:r>
        <w:rPr>
          <w:rFonts w:hint="eastAsia"/>
          <w:b/>
          <w:bCs/>
          <w:lang w:val="en-US" w:eastAsia="zh-CN"/>
        </w:rPr>
        <w:t>素有“北看天津针，南看江西灸”的美誉</w:t>
      </w:r>
      <w:r>
        <w:rPr>
          <w:rFonts w:hint="eastAsia"/>
          <w:lang w:val="en-US" w:eastAsia="zh-CN"/>
        </w:rPr>
        <w:t>。记者11月2日获悉，省医疗保障局会同省卫生健康委员会、省中医药管理局部门日前联合印发《关于进一步支持热敏灸医疗服务项目发展的通知》，旨在推动我省中医药传承创新发展，满足人民群众中医药服务需求。</w:t>
      </w:r>
      <w:r>
        <w:rPr>
          <w:rFonts w:hint="eastAsia"/>
          <w:b/>
          <w:bCs/>
          <w:lang w:val="en-US" w:eastAsia="zh-CN"/>
        </w:rPr>
        <w:t>热敏灸项目和热敏灸艾条</w:t>
      </w:r>
      <w:r>
        <w:rPr>
          <w:rFonts w:hint="eastAsia"/>
          <w:lang w:val="en-US" w:eastAsia="zh-CN"/>
        </w:rPr>
        <w:t>的价格及医保支付政策自2022年11月1日起执行。</w:t>
      </w:r>
    </w:p>
    <w:p>
      <w:pPr>
        <w:rPr>
          <w:rFonts w:hint="eastAsia"/>
          <w:lang w:val="en-US" w:eastAsia="zh-CN"/>
        </w:rPr>
      </w:pPr>
      <w:r>
        <w:rPr>
          <w:rFonts w:hint="eastAsia"/>
          <w:lang w:val="en-US" w:eastAsia="zh-CN"/>
        </w:rPr>
        <w:t>5.11月4日，第23届</w:t>
      </w:r>
      <w:r>
        <w:rPr>
          <w:rFonts w:hint="eastAsia"/>
          <w:b/>
          <w:bCs/>
          <w:lang w:val="en-US" w:eastAsia="zh-CN"/>
        </w:rPr>
        <w:t>中日韩友好城市交流大会</w:t>
      </w:r>
      <w:r>
        <w:rPr>
          <w:rFonts w:hint="eastAsia"/>
          <w:lang w:val="en-US" w:eastAsia="zh-CN"/>
        </w:rPr>
        <w:t>以线上线下相结合的方式在</w:t>
      </w:r>
      <w:r>
        <w:rPr>
          <w:rFonts w:hint="eastAsia"/>
          <w:b/>
          <w:bCs/>
          <w:lang w:val="en-US" w:eastAsia="zh-CN"/>
        </w:rPr>
        <w:t>南昌</w:t>
      </w:r>
      <w:r>
        <w:rPr>
          <w:rFonts w:hint="eastAsia"/>
          <w:lang w:val="en-US" w:eastAsia="zh-CN"/>
        </w:rPr>
        <w:t>举办。</w:t>
      </w:r>
    </w:p>
    <w:p>
      <w:pPr>
        <w:rPr>
          <w:rFonts w:hint="eastAsia"/>
          <w:lang w:val="en-US" w:eastAsia="zh-CN"/>
        </w:rPr>
      </w:pPr>
      <w:r>
        <w:rPr>
          <w:rFonts w:hint="eastAsia"/>
          <w:lang w:val="en-US" w:eastAsia="zh-CN"/>
        </w:rPr>
        <w:t>6.11月2日，从省市场监管局获悉：</w:t>
      </w:r>
      <w:r>
        <w:rPr>
          <w:rFonts w:hint="eastAsia"/>
          <w:b/>
          <w:bCs/>
          <w:lang w:val="en-US" w:eastAsia="zh-CN"/>
        </w:rPr>
        <w:t>我省首单知识产权证券化项目在赣州经开区正式启动。</w:t>
      </w:r>
      <w:r>
        <w:rPr>
          <w:rFonts w:hint="eastAsia"/>
          <w:lang w:val="en-US" w:eastAsia="zh-CN"/>
        </w:rPr>
        <w:t>该项目将通过对经开区企业知识产权进行价值评估、资产打包、信用增进、产品标准化等步骤，力争发行规模2亿元、期限3年的知识产权证券化产品。</w:t>
      </w:r>
    </w:p>
    <w:p>
      <w:pPr>
        <w:rPr>
          <w:rFonts w:hint="eastAsia"/>
          <w:lang w:val="en-US" w:eastAsia="zh-CN"/>
        </w:rPr>
      </w:pPr>
      <w:r>
        <w:rPr>
          <w:rFonts w:hint="eastAsia"/>
          <w:lang w:val="en-US" w:eastAsia="zh-CN"/>
        </w:rPr>
        <w:t>7.11月3日，据省通信管理局发布的消息：前三季度，我省信息通信业继续保持快速发展态势，数字基础设施量质齐升。全省现已实现</w:t>
      </w:r>
      <w:r>
        <w:rPr>
          <w:rFonts w:hint="eastAsia"/>
          <w:b/>
          <w:bCs/>
          <w:lang w:val="en-US" w:eastAsia="zh-CN"/>
        </w:rPr>
        <w:t>5G网络“乡乡通”</w:t>
      </w:r>
      <w:r>
        <w:rPr>
          <w:rFonts w:hint="eastAsia"/>
          <w:lang w:val="en-US" w:eastAsia="zh-CN"/>
        </w:rPr>
        <w:t>，每万人5G基站数达13.5个。</w:t>
      </w:r>
    </w:p>
    <w:p>
      <w:pPr>
        <w:rPr>
          <w:rFonts w:hint="eastAsia"/>
          <w:lang w:val="en-US" w:eastAsia="zh-CN"/>
        </w:rPr>
      </w:pPr>
      <w:r>
        <w:rPr>
          <w:rFonts w:hint="eastAsia"/>
          <w:lang w:val="en-US" w:eastAsia="zh-CN"/>
        </w:rPr>
        <w:t>8.11月5日，</w:t>
      </w:r>
      <w:r>
        <w:rPr>
          <w:rFonts w:hint="eastAsia"/>
          <w:b/>
          <w:bCs/>
          <w:lang w:val="en-US" w:eastAsia="zh-CN"/>
        </w:rPr>
        <w:t>第八届中国养老服务业发展高层论坛</w:t>
      </w:r>
      <w:r>
        <w:rPr>
          <w:rFonts w:hint="eastAsia"/>
          <w:lang w:val="en-US" w:eastAsia="zh-CN"/>
        </w:rPr>
        <w:t>在</w:t>
      </w:r>
      <w:r>
        <w:rPr>
          <w:rFonts w:hint="eastAsia"/>
          <w:b/>
          <w:bCs/>
          <w:lang w:val="en-US" w:eastAsia="zh-CN"/>
        </w:rPr>
        <w:t>南昌</w:t>
      </w:r>
      <w:r>
        <w:rPr>
          <w:rFonts w:hint="eastAsia"/>
          <w:lang w:val="en-US" w:eastAsia="zh-CN"/>
        </w:rPr>
        <w:t>举办。</w:t>
      </w:r>
    </w:p>
    <w:p>
      <w:pPr>
        <w:rPr>
          <w:rFonts w:hint="eastAsia"/>
          <w:lang w:val="en-US" w:eastAsia="zh-CN"/>
        </w:rPr>
      </w:pPr>
      <w:r>
        <w:rPr>
          <w:rFonts w:hint="eastAsia"/>
          <w:lang w:val="en-US" w:eastAsia="zh-CN"/>
        </w:rPr>
        <w:t>9.11月6日，中国康养产品产业博览会在南昌举行。</w:t>
      </w:r>
    </w:p>
    <w:p>
      <w:pPr>
        <w:rPr>
          <w:rFonts w:hint="eastAsia"/>
          <w:lang w:val="en-US" w:eastAsia="zh-CN"/>
        </w:rPr>
      </w:pPr>
      <w:r>
        <w:rPr>
          <w:rFonts w:hint="eastAsia"/>
          <w:lang w:val="en-US" w:eastAsia="zh-CN"/>
        </w:rPr>
        <w:t>10.11月5日，首届（江西·九江）长江经济带文化和旅游消费季暨第五届江西旅游消费节在九江市开幕。该活动旨在促进长江经济带城市文化和旅游产业深度融合，助推长江经济带重要节点城市高标准建设。</w:t>
      </w:r>
      <w:r>
        <w:rPr>
          <w:rFonts w:hint="eastAsia"/>
          <w:b/>
          <w:bCs/>
          <w:lang w:val="en-US" w:eastAsia="zh-CN"/>
        </w:rPr>
        <w:t>江西省九江市、湖北省咸宁市、湖南省岳阳市、安徽省铜陵市和芜湖市、江苏省镇江市等6个长江经济带沿线城市</w:t>
      </w:r>
      <w:r>
        <w:rPr>
          <w:rFonts w:hint="eastAsia"/>
          <w:lang w:val="en-US" w:eastAsia="zh-CN"/>
        </w:rPr>
        <w:t>，共同签署了文化和旅游合作发展协议。此次活动围绕</w:t>
      </w:r>
      <w:r>
        <w:rPr>
          <w:rFonts w:hint="eastAsia"/>
          <w:b/>
          <w:bCs/>
          <w:lang w:val="en-US" w:eastAsia="zh-CN"/>
        </w:rPr>
        <w:t>“构建文旅大格局 创新文旅大消费”</w:t>
      </w:r>
      <w:r>
        <w:rPr>
          <w:rFonts w:hint="eastAsia"/>
          <w:lang w:val="en-US" w:eastAsia="zh-CN"/>
        </w:rPr>
        <w:t>主题，聚焦文旅消费、招商引资、文旅推介、商贸交易四大板块</w:t>
      </w:r>
    </w:p>
    <w:p>
      <w:pPr>
        <w:rPr>
          <w:rFonts w:hint="eastAsia"/>
          <w:lang w:val="en-US" w:eastAsia="zh-CN"/>
        </w:rPr>
      </w:pPr>
      <w:r>
        <w:rPr>
          <w:rFonts w:hint="eastAsia"/>
          <w:lang w:val="en-US" w:eastAsia="zh-CN"/>
        </w:rPr>
        <w:t>11.11月7日，2022景德镇国家陶瓷文化传承创新试验区发展高峰论坛在景德镇陶瓷大学举行。</w:t>
      </w:r>
    </w:p>
    <w:p>
      <w:pPr>
        <w:rPr>
          <w:rFonts w:hint="eastAsia"/>
          <w:lang w:val="en-US" w:eastAsia="zh-CN"/>
        </w:rPr>
      </w:pPr>
      <w:r>
        <w:rPr>
          <w:rFonts w:hint="eastAsia"/>
          <w:lang w:val="en-US" w:eastAsia="zh-CN"/>
        </w:rPr>
        <w:t>12.11月7日，</w:t>
      </w:r>
      <w:r>
        <w:rPr>
          <w:rFonts w:hint="eastAsia"/>
          <w:b/>
          <w:bCs/>
          <w:lang w:val="en-US" w:eastAsia="zh-CN"/>
        </w:rPr>
        <w:t>2022世界VR产业大会</w:t>
      </w:r>
      <w:r>
        <w:rPr>
          <w:rFonts w:hint="eastAsia"/>
          <w:lang w:val="en-US" w:eastAsia="zh-CN"/>
        </w:rPr>
        <w:t>召开第二场新闻发布会。2022世界VR产业大会将于11月12日至13日在南昌举行。本届大会以“VR让世界更精彩-VR点亮元宇宙”为主题。</w:t>
      </w:r>
    </w:p>
    <w:p>
      <w:pPr>
        <w:rPr>
          <w:rFonts w:hint="eastAsia"/>
          <w:lang w:val="en-US" w:eastAsia="zh-CN"/>
        </w:rPr>
      </w:pPr>
      <w:r>
        <w:rPr>
          <w:rFonts w:hint="eastAsia"/>
          <w:lang w:val="en-US" w:eastAsia="zh-CN"/>
        </w:rPr>
        <w:t>13.11月7日，日前，我省印发《关于完善分时电价机制有关事项的通知》，根据我省用电负荷特性，分季节重新划定峰、谷、平时间段，并将适当扩大电费峰谷价差，自2022年12月1日起在全省统一执行。为引导用户削峰填谷，此次完善分时电价机制适当扩大了峰谷价差。在高峰时段电价上浮50%，低谷时段下浮50%，比现行上下浮动幅度扩大了20%。尖峰时段电价在高峰时段电价基础上上浮20%。</w:t>
      </w:r>
    </w:p>
    <w:p>
      <w:pPr>
        <w:rPr>
          <w:rFonts w:hint="eastAsia"/>
          <w:b/>
          <w:bCs/>
          <w:lang w:val="en-US" w:eastAsia="zh-CN"/>
        </w:rPr>
      </w:pPr>
      <w:r>
        <w:rPr>
          <w:rFonts w:hint="eastAsia"/>
          <w:lang w:val="en-US" w:eastAsia="zh-CN"/>
        </w:rPr>
        <w:t>14.11月7日，记者从我省前三季度农业农村经济运行分析会上获悉：前三季度全省农业经济发展稳中向好，为全省经济社会发展发挥了重要作用。其中，农林牧渔业总产值同比增长4.7%；农村居民人均可支配收入同比增长7.3%，高于全国0.9个百分点，增速位居全国第六；全</w:t>
      </w:r>
      <w:r>
        <w:rPr>
          <w:rFonts w:hint="eastAsia"/>
          <w:b/>
          <w:bCs/>
          <w:lang w:val="en-US" w:eastAsia="zh-CN"/>
        </w:rPr>
        <w:t>年粮食总产量有望稳定在430亿斤以上。</w:t>
      </w:r>
    </w:p>
    <w:p>
      <w:pPr>
        <w:rPr>
          <w:rFonts w:hint="eastAsia"/>
          <w:lang w:val="en-US" w:eastAsia="zh-CN"/>
        </w:rPr>
      </w:pPr>
      <w:r>
        <w:rPr>
          <w:rFonts w:hint="eastAsia"/>
          <w:lang w:val="en-US" w:eastAsia="zh-CN"/>
        </w:rPr>
        <w:t>15.11月8日，</w:t>
      </w:r>
      <w:r>
        <w:rPr>
          <w:rFonts w:hint="eastAsia"/>
          <w:b/>
          <w:bCs/>
          <w:lang w:val="en-US" w:eastAsia="zh-CN"/>
        </w:rPr>
        <w:t>由中华全国新闻工作者协会主办的第32届中国新闻奖、第17届长江韬奋奖评选结果揭晓。</w:t>
      </w:r>
      <w:r>
        <w:rPr>
          <w:rFonts w:hint="eastAsia"/>
          <w:lang w:val="en-US" w:eastAsia="zh-CN"/>
        </w:rPr>
        <w:t>江西日报社有4件作品获奖，其中，江西日报刊发的《风卷红旗再出发》（作者：李旭、龚莉芹、曹诚平、赵影）获副刊作品一等奖；《从“天净沙”到“维多利亚”——爱德华一家在婺源》（作者：朱彦、齐美煜）获国际传播三等奖；《阿卜杜拉文明志愿服务队英雄城里浇灌民族团结之花 守望相助紧紧相拥 构筑共有精神家园 6名少数民族同胞昨同时递交入党申请书》（作者：宋思嘉）获典型报道三等奖；《上饶市信州区沙溪镇白石村数百亩田撂荒——高标准农田竟种不了田》（作者：余红举）获舆论监督报道三等奖。</w:t>
      </w:r>
    </w:p>
    <w:p>
      <w:pPr>
        <w:rPr>
          <w:rFonts w:hint="eastAsia"/>
          <w:lang w:val="en-US" w:eastAsia="zh-CN"/>
        </w:rPr>
      </w:pPr>
      <w:r>
        <w:rPr>
          <w:rFonts w:hint="eastAsia"/>
          <w:lang w:val="en-US" w:eastAsia="zh-CN"/>
        </w:rPr>
        <w:t>16.11月9日晚，由中国民间文艺家协会、江西省文联等主办的“学习宣传贯彻党的二十大精神——听故事见江西大型原创主题故事剧”在景德镇陶溪川大剧院上演。</w:t>
      </w:r>
    </w:p>
    <w:p>
      <w:pPr>
        <w:rPr>
          <w:rFonts w:hint="eastAsia"/>
          <w:lang w:val="en-US" w:eastAsia="zh-CN"/>
        </w:rPr>
      </w:pPr>
      <w:r>
        <w:rPr>
          <w:rFonts w:hint="eastAsia"/>
          <w:lang w:val="en-US" w:eastAsia="zh-CN"/>
        </w:rPr>
        <w:t>17.11月8日，江西与山西、吉林、黑龙江、江苏、安徽、福建、重庆、贵州、云南、广西、浙江、甘肃、河南、辽宁、四川15个省（区、市）开通首次居民身份证“跨省通办”试点工作，15个省（区、市）在江西省合法稳定就业、就学、居住的</w:t>
      </w:r>
      <w:r>
        <w:rPr>
          <w:rFonts w:hint="eastAsia"/>
          <w:b/>
          <w:bCs/>
          <w:lang w:val="en-US" w:eastAsia="zh-CN"/>
        </w:rPr>
        <w:t>居民首次申领居民身份证无需回户籍地即可办理</w:t>
      </w:r>
      <w:r>
        <w:rPr>
          <w:rFonts w:hint="eastAsia"/>
          <w:lang w:val="en-US" w:eastAsia="zh-CN"/>
        </w:rPr>
        <w:t>。</w:t>
      </w:r>
    </w:p>
    <w:p>
      <w:pPr>
        <w:rPr>
          <w:rFonts w:hint="eastAsia"/>
          <w:lang w:val="en-US" w:eastAsia="zh-CN"/>
        </w:rPr>
      </w:pPr>
      <w:r>
        <w:rPr>
          <w:rFonts w:hint="eastAsia"/>
          <w:lang w:val="en-US" w:eastAsia="zh-CN"/>
        </w:rPr>
        <w:t>18.11月12日，元宇宙高峰论坛在南昌举行。本届大会以“VR让世界更精彩——VR点亮元宇宙”为主题。</w:t>
      </w:r>
    </w:p>
    <w:p>
      <w:pPr>
        <w:rPr>
          <w:rFonts w:hint="eastAsia"/>
          <w:lang w:val="en-US" w:eastAsia="zh-CN"/>
        </w:rPr>
      </w:pPr>
      <w:r>
        <w:rPr>
          <w:rFonts w:hint="eastAsia"/>
          <w:lang w:val="en-US" w:eastAsia="zh-CN"/>
        </w:rPr>
        <w:t>19.省统计局近日发布数据，前三季度，江西</w:t>
      </w:r>
      <w:r>
        <w:rPr>
          <w:rFonts w:hint="eastAsia"/>
          <w:b/>
          <w:bCs/>
          <w:lang w:val="en-US" w:eastAsia="zh-CN"/>
        </w:rPr>
        <w:t>社会消费品零售总额</w:t>
      </w:r>
      <w:r>
        <w:rPr>
          <w:rFonts w:hint="eastAsia"/>
          <w:lang w:val="en-US" w:eastAsia="zh-CN"/>
        </w:rPr>
        <w:t>8837.1亿元，同比增长6.0%，比上半年加快0.4个百分点，</w:t>
      </w:r>
      <w:r>
        <w:rPr>
          <w:rFonts w:hint="eastAsia"/>
          <w:b/>
          <w:bCs/>
          <w:lang w:val="en-US" w:eastAsia="zh-CN"/>
        </w:rPr>
        <w:t>连续七个月增速位居全国第一</w:t>
      </w:r>
      <w:r>
        <w:rPr>
          <w:rFonts w:hint="eastAsia"/>
          <w:lang w:val="en-US" w:eastAsia="zh-CN"/>
        </w:rPr>
        <w:t>，增速高于全国平均水平5.3个百分点。</w:t>
      </w:r>
    </w:p>
    <w:p>
      <w:pPr>
        <w:rPr>
          <w:rFonts w:hint="eastAsia"/>
          <w:lang w:val="en-US" w:eastAsia="zh-CN"/>
        </w:rPr>
      </w:pPr>
      <w:r>
        <w:rPr>
          <w:rFonts w:hint="eastAsia"/>
          <w:lang w:val="en-US" w:eastAsia="zh-CN"/>
        </w:rPr>
        <w:t>20.11月14日，省人大常委会和省委统战部共同召开</w:t>
      </w:r>
      <w:r>
        <w:rPr>
          <w:rFonts w:hint="eastAsia"/>
          <w:b/>
          <w:bCs/>
          <w:lang w:val="en-US" w:eastAsia="zh-CN"/>
        </w:rPr>
        <w:t>《江西省数据应用条例》</w:t>
      </w:r>
      <w:r>
        <w:rPr>
          <w:rFonts w:hint="eastAsia"/>
          <w:lang w:val="en-US" w:eastAsia="zh-CN"/>
        </w:rPr>
        <w:t>立法协商座谈会。</w:t>
      </w:r>
    </w:p>
    <w:p>
      <w:pPr>
        <w:pStyle w:val="8"/>
        <w:shd w:val="clear" w:fill="F1F1F1" w:themeFill="background1" w:themeFillShade="F2"/>
        <w:bidi w:val="0"/>
        <w:rPr>
          <w:rFonts w:hint="eastAsia"/>
          <w:lang w:eastAsia="zh-CN"/>
        </w:rPr>
      </w:pPr>
      <w:r>
        <w:rPr>
          <w:rFonts w:hint="eastAsia"/>
          <w:lang w:eastAsia="zh-CN"/>
        </w:rPr>
        <w:t>【广东】</w:t>
      </w:r>
    </w:p>
    <w:p>
      <w:pPr>
        <w:rPr>
          <w:rFonts w:hint="eastAsia"/>
          <w:lang w:val="en-US" w:eastAsia="zh-CN"/>
        </w:rPr>
      </w:pPr>
      <w:r>
        <w:rPr>
          <w:rFonts w:hint="eastAsia"/>
          <w:lang w:val="en-US" w:eastAsia="zh-CN"/>
        </w:rPr>
        <w:t>1.11月3日，省委书记黄坤明，省委副书记、省长王伟中到韶关市，深入红色遗址、国家森林公园、农业龙头企业、老工业基地等，就深入学习宣传贯彻党的二十大精神、推动高质量发展进行调研。黄坤明强调，要按照中央部署要求抓好党的二十大精神学习宣传贯彻工作，结合实际谋划务实管用的工作举措，努力在高质量发展上取得新进展，更好推动城乡和区域协调发展。</w:t>
      </w:r>
    </w:p>
    <w:p>
      <w:pPr>
        <w:rPr>
          <w:rFonts w:hint="eastAsia"/>
          <w:lang w:val="en-US" w:eastAsia="zh-CN"/>
        </w:rPr>
      </w:pPr>
      <w:r>
        <w:rPr>
          <w:rFonts w:hint="eastAsia"/>
          <w:lang w:val="en-US" w:eastAsia="zh-CN"/>
        </w:rPr>
        <w:t>2.11月8日，省政协召开“推动‘双减’政策下中小学校</w:t>
      </w:r>
      <w:r>
        <w:rPr>
          <w:rFonts w:hint="eastAsia"/>
          <w:b/>
          <w:bCs/>
          <w:lang w:val="en-US" w:eastAsia="zh-CN"/>
        </w:rPr>
        <w:t>美育教学改革</w:t>
      </w:r>
      <w:r>
        <w:rPr>
          <w:rFonts w:hint="eastAsia"/>
          <w:lang w:val="en-US" w:eastAsia="zh-CN"/>
        </w:rPr>
        <w:t>发展”专题协商会。</w:t>
      </w:r>
    </w:p>
    <w:p>
      <w:pPr>
        <w:rPr>
          <w:rFonts w:hint="eastAsia"/>
          <w:lang w:val="en-US" w:eastAsia="zh-CN"/>
        </w:rPr>
      </w:pPr>
      <w:r>
        <w:rPr>
          <w:rFonts w:hint="eastAsia"/>
          <w:lang w:val="en-US" w:eastAsia="zh-CN"/>
        </w:rPr>
        <w:t>3.11月8日上午，第十四届中国国际航空航天博览会在珠海开幕。第十五届中国国际航空航天博览会将于2024年11月12日至17日在珠海举办。</w:t>
      </w:r>
    </w:p>
    <w:p>
      <w:pPr>
        <w:rPr>
          <w:rFonts w:hint="eastAsia"/>
          <w:lang w:val="en-US" w:eastAsia="zh-CN"/>
        </w:rPr>
      </w:pPr>
      <w:r>
        <w:rPr>
          <w:rFonts w:hint="eastAsia"/>
          <w:lang w:val="en-US" w:eastAsia="zh-CN"/>
        </w:rPr>
        <w:t>4.近日，省残联等多部门联合印发</w:t>
      </w:r>
      <w:r>
        <w:rPr>
          <w:rFonts w:hint="eastAsia"/>
          <w:b/>
          <w:bCs/>
          <w:lang w:val="en-US" w:eastAsia="zh-CN"/>
        </w:rPr>
        <w:t>《广东省“十四五”残疾人职业技能提升计划实施方案》</w:t>
      </w:r>
      <w:r>
        <w:rPr>
          <w:rFonts w:hint="eastAsia"/>
          <w:lang w:val="en-US" w:eastAsia="zh-CN"/>
        </w:rPr>
        <w:t>（下称《实施方案》），明确到2025年底，开展城乡残疾人职业技能培训10万人次以上；登记有培训意愿残疾人培训服务率达到90%以上；为2万人次以上农村残疾人开展实用技术培训；编写10个以上线上培训项目课程；培育推出20个以上富有广东特色的优质专项职业技能培训项目；依托普通高校和特殊教育学校，建设1家国家级残疾人职业培训师资研修基地；每个县（市、区）至少挂牌1家残疾人职业培训基地等七个任务目标。</w:t>
      </w:r>
    </w:p>
    <w:p>
      <w:pPr>
        <w:rPr>
          <w:rFonts w:hint="eastAsia"/>
          <w:lang w:val="en-US" w:eastAsia="zh-CN"/>
        </w:rPr>
      </w:pPr>
      <w:r>
        <w:rPr>
          <w:rFonts w:hint="eastAsia"/>
          <w:lang w:val="en-US" w:eastAsia="zh-CN"/>
        </w:rPr>
        <w:t>5.近日，省生态环境厅印发了</w:t>
      </w:r>
      <w:r>
        <w:rPr>
          <w:rFonts w:hint="eastAsia"/>
          <w:b/>
          <w:bCs/>
          <w:lang w:val="en-US" w:eastAsia="zh-CN"/>
        </w:rPr>
        <w:t>《广东省“十四五”生态环境科普工作实施方案》</w:t>
      </w:r>
      <w:r>
        <w:rPr>
          <w:rFonts w:hint="eastAsia"/>
          <w:lang w:val="en-US" w:eastAsia="zh-CN"/>
        </w:rPr>
        <w:t>（下称《方案》），其中明确提出，提升生态环境设施科普功能，鼓励各地科技馆、博物馆、文化馆、图书馆、工业遗迹、公园等公共文化机构建设生态环境科普展区。</w:t>
      </w:r>
    </w:p>
    <w:p>
      <w:pPr>
        <w:pStyle w:val="7"/>
        <w:bidi w:val="0"/>
        <w:rPr>
          <w:rFonts w:hint="eastAsia"/>
          <w:lang w:eastAsia="zh-CN"/>
        </w:rPr>
      </w:pPr>
      <w:r>
        <w:rPr>
          <w:rFonts w:hint="eastAsia"/>
          <w:lang w:eastAsia="zh-CN"/>
        </w:rPr>
        <w:t>全国新闻</w:t>
      </w:r>
    </w:p>
    <w:p>
      <w:pPr>
        <w:pStyle w:val="8"/>
        <w:shd w:val="clear" w:fill="F1F1F1" w:themeFill="background1" w:themeFillShade="F2"/>
        <w:bidi w:val="0"/>
        <w:rPr>
          <w:rFonts w:hint="eastAsia"/>
          <w:lang w:eastAsia="zh-CN"/>
        </w:rPr>
      </w:pPr>
      <w:r>
        <w:rPr>
          <w:rFonts w:hint="eastAsia"/>
          <w:lang w:eastAsia="zh-CN"/>
        </w:rPr>
        <w:t>【</w:t>
      </w:r>
      <w:r>
        <w:rPr>
          <w:rFonts w:hint="eastAsia"/>
          <w:u w:val="double"/>
          <w:lang w:eastAsia="zh-CN"/>
        </w:rPr>
        <w:t>会议文件类】</w:t>
      </w:r>
    </w:p>
    <w:p>
      <w:pPr>
        <w:rPr>
          <w:rFonts w:hint="default"/>
          <w:b/>
          <w:bCs/>
          <w:color w:val="7030A0"/>
          <w:lang w:val="en-US" w:eastAsia="zh-CN"/>
        </w:rPr>
      </w:pPr>
      <w:r>
        <w:rPr>
          <w:rFonts w:hint="eastAsia"/>
          <w:b/>
          <w:bCs/>
          <w:color w:val="7030A0"/>
          <w:lang w:val="en-US" w:eastAsia="zh-CN"/>
        </w:rPr>
        <w:t>1.《求是》发表二十大专刊</w:t>
      </w:r>
    </w:p>
    <w:p>
      <w:pPr>
        <w:rPr>
          <w:rFonts w:hint="eastAsia"/>
          <w:lang w:eastAsia="zh-CN"/>
        </w:rPr>
      </w:pPr>
      <w:r>
        <w:rPr>
          <w:rFonts w:hint="eastAsia"/>
          <w:lang w:eastAsia="zh-CN"/>
        </w:rPr>
        <w:t>2022年11月1日，《求是》杂志将以专刊形式发表习近平同志在中国共产党第二十次全国代表大会上的报告</w:t>
      </w:r>
      <w:r>
        <w:rPr>
          <w:rFonts w:hint="eastAsia"/>
          <w:b/>
          <w:bCs/>
          <w:lang w:eastAsia="zh-CN"/>
        </w:rPr>
        <w:t>《高举中国特色社会主义伟大旗帜为全面建设社会主义现代化国家而团结奋斗》</w:t>
      </w:r>
      <w:r>
        <w:rPr>
          <w:rFonts w:hint="eastAsia"/>
          <w:lang w:eastAsia="zh-CN"/>
        </w:rPr>
        <w:t>。</w:t>
      </w:r>
    </w:p>
    <w:p>
      <w:pPr>
        <w:jc w:val="left"/>
        <w:rPr>
          <w:rFonts w:hint="default" w:eastAsia="宋体"/>
          <w:b/>
          <w:bCs/>
          <w:color w:val="7030A0"/>
          <w:highlight w:val="none"/>
          <w:lang w:val="en-US" w:eastAsia="zh-CN"/>
        </w:rPr>
      </w:pPr>
      <w:r>
        <w:rPr>
          <w:rFonts w:hint="eastAsia"/>
          <w:b/>
          <w:bCs/>
          <w:color w:val="7030A0"/>
          <w:highlight w:val="none"/>
          <w:lang w:val="en-US" w:eastAsia="zh-CN"/>
        </w:rPr>
        <w:t>2.中共中央政治局常务委员会会议研究部署进一步优化防控工作的二十条措施</w:t>
      </w:r>
    </w:p>
    <w:p>
      <w:pPr>
        <w:jc w:val="left"/>
        <w:rPr>
          <w:highlight w:val="none"/>
        </w:rPr>
      </w:pPr>
      <w:r>
        <w:rPr>
          <w:rFonts w:hint="eastAsia" w:eastAsia="宋体"/>
          <w:highlight w:val="none"/>
          <w:lang w:eastAsia="zh-CN"/>
        </w:rPr>
        <w:t>2022年11月10日，中共中央政治局常务委员会召开会议，听取新冠肺炎疫情防控工作汇报，研究部署进一步优化防控工作的二十条措施。会议强调，要完整、准确、全面贯彻落实党中央决策部署，</w:t>
      </w:r>
      <w:r>
        <w:rPr>
          <w:rFonts w:hint="eastAsia" w:eastAsia="宋体"/>
          <w:b/>
          <w:bCs/>
          <w:color w:val="FF0000"/>
          <w:highlight w:val="none"/>
          <w:lang w:eastAsia="zh-CN"/>
        </w:rPr>
        <w:t>坚定不移</w:t>
      </w:r>
      <w:r>
        <w:rPr>
          <w:rFonts w:hint="eastAsia" w:eastAsia="宋体"/>
          <w:b/>
          <w:bCs/>
          <w:highlight w:val="none"/>
          <w:lang w:eastAsia="zh-CN"/>
        </w:rPr>
        <w:t>坚持人民至上、生命至上，</w:t>
      </w:r>
      <w:r>
        <w:rPr>
          <w:rFonts w:hint="eastAsia" w:eastAsia="宋体"/>
          <w:b/>
          <w:bCs/>
          <w:color w:val="FF0000"/>
          <w:highlight w:val="none"/>
          <w:lang w:eastAsia="zh-CN"/>
        </w:rPr>
        <w:t>坚定不移</w:t>
      </w:r>
      <w:r>
        <w:rPr>
          <w:rFonts w:hint="eastAsia" w:eastAsia="宋体"/>
          <w:b/>
          <w:bCs/>
          <w:highlight w:val="none"/>
          <w:lang w:eastAsia="zh-CN"/>
        </w:rPr>
        <w:t>落实“外防输入、内防反弹”总策略，</w:t>
      </w:r>
      <w:r>
        <w:rPr>
          <w:rFonts w:hint="eastAsia" w:eastAsia="宋体"/>
          <w:b/>
          <w:bCs/>
          <w:color w:val="FF0000"/>
          <w:highlight w:val="none"/>
          <w:lang w:eastAsia="zh-CN"/>
        </w:rPr>
        <w:t>坚定不移</w:t>
      </w:r>
      <w:r>
        <w:rPr>
          <w:rFonts w:hint="eastAsia" w:eastAsia="宋体"/>
          <w:b/>
          <w:bCs/>
          <w:highlight w:val="none"/>
          <w:lang w:eastAsia="zh-CN"/>
        </w:rPr>
        <w:t>贯彻“动态清零”总方针</w:t>
      </w:r>
      <w:r>
        <w:rPr>
          <w:rFonts w:hint="eastAsia" w:eastAsia="宋体"/>
          <w:highlight w:val="none"/>
          <w:lang w:eastAsia="zh-CN"/>
        </w:rPr>
        <w:t>，按照</w:t>
      </w:r>
      <w:r>
        <w:rPr>
          <w:rFonts w:hint="eastAsia" w:eastAsia="宋体"/>
          <w:b/>
          <w:bCs/>
          <w:highlight w:val="none"/>
          <w:lang w:eastAsia="zh-CN"/>
        </w:rPr>
        <w:t>疫情要防住、经济要稳住、发展要安全</w:t>
      </w:r>
      <w:r>
        <w:rPr>
          <w:rFonts w:hint="eastAsia" w:eastAsia="宋体"/>
          <w:highlight w:val="none"/>
          <w:lang w:eastAsia="zh-CN"/>
        </w:rPr>
        <w:t>的</w:t>
      </w:r>
      <w:r>
        <w:rPr>
          <w:rFonts w:hint="eastAsia" w:eastAsia="宋体"/>
          <w:highlight w:val="none"/>
          <w:u w:val="wave"/>
          <w:lang w:eastAsia="zh-CN"/>
        </w:rPr>
        <w:t>要求</w:t>
      </w:r>
      <w:r>
        <w:rPr>
          <w:rFonts w:hint="eastAsia" w:eastAsia="宋体"/>
          <w:highlight w:val="none"/>
          <w:lang w:eastAsia="zh-CN"/>
        </w:rPr>
        <w:t>，高效统筹疫情防控和经济社会发展，最大程度保护人民生命安全和身体健康，最大限度减少疫情对经济社会发展的影响。</w:t>
      </w:r>
    </w:p>
    <w:p>
      <w:pPr>
        <w:pStyle w:val="8"/>
        <w:bidi w:val="0"/>
        <w:rPr>
          <w:rFonts w:hint="eastAsia"/>
          <w:color w:val="FFFFFF" w:themeColor="background1"/>
          <w:lang w:eastAsia="zh-CN"/>
          <w14:textFill>
            <w14:solidFill>
              <w14:schemeClr w14:val="bg1"/>
            </w14:solidFill>
          </w14:textFill>
        </w:rPr>
      </w:pPr>
      <w:r>
        <w:rPr>
          <w:rFonts w:hint="eastAsia"/>
          <w:color w:val="FFFFFF" w:themeColor="background1"/>
          <w:lang w:eastAsia="zh-CN"/>
          <w14:textFill>
            <w14:solidFill>
              <w14:schemeClr w14:val="bg1"/>
            </w14:solidFill>
          </w14:textFill>
        </w:rPr>
        <w:t>党建类</w:t>
      </w:r>
    </w:p>
    <w:p>
      <w:pPr>
        <w:pStyle w:val="8"/>
        <w:shd w:val="clear" w:fill="F1F1F1" w:themeFill="background1" w:themeFillShade="F2"/>
        <w:bidi w:val="0"/>
        <w:rPr>
          <w:rFonts w:hint="eastAsia"/>
          <w:lang w:eastAsia="zh-CN"/>
        </w:rPr>
      </w:pPr>
      <w:r>
        <w:rPr>
          <w:rFonts w:hint="eastAsia"/>
          <w:lang w:eastAsia="zh-CN"/>
        </w:rPr>
        <w:t>安全类</w:t>
      </w:r>
    </w:p>
    <w:p>
      <w:pPr>
        <w:rPr>
          <w:rFonts w:hint="eastAsia"/>
          <w:b/>
          <w:bCs/>
          <w:color w:val="7030A0"/>
          <w:highlight w:val="none"/>
          <w:lang w:eastAsia="zh-CN"/>
        </w:rPr>
      </w:pPr>
      <w:r>
        <w:rPr>
          <w:rFonts w:hint="eastAsia"/>
          <w:b/>
          <w:bCs/>
          <w:color w:val="7030A0"/>
          <w:highlight w:val="none"/>
          <w:lang w:val="en-US" w:eastAsia="zh-CN"/>
        </w:rPr>
        <w:t>1.</w:t>
      </w:r>
      <w:r>
        <w:rPr>
          <w:rFonts w:hint="eastAsia"/>
          <w:b/>
          <w:bCs/>
          <w:color w:val="7030A0"/>
          <w:highlight w:val="none"/>
          <w:lang w:eastAsia="zh-CN"/>
        </w:rPr>
        <w:t>《携手构建网络空间命运共同体》白皮书发布</w:t>
      </w:r>
    </w:p>
    <w:p>
      <w:pPr>
        <w:rPr>
          <w:rFonts w:hint="eastAsia"/>
          <w:lang w:eastAsia="zh-CN"/>
        </w:rPr>
      </w:pPr>
      <w:r>
        <w:rPr>
          <w:rFonts w:hint="eastAsia"/>
          <w:lang w:eastAsia="zh-CN"/>
        </w:rPr>
        <w:t>2022年11月7日，国务院新闻办公室发布《携手构建网络空间命运共同体》白皮书。白皮书介绍，截至2021年，中国数字经济规模达到45.5万亿元，占国内生产总值比重为39.8%，连续多年位居全球第二。白皮书指出，构建网络空间命运共同体是信息时代的必然选择。互联网是人类的共同家园，让这个家园更繁荣、更干净、更安全，是国际社会的共同责任。</w:t>
      </w:r>
    </w:p>
    <w:p>
      <w:pPr>
        <w:rPr>
          <w:rFonts w:hint="default"/>
          <w:b/>
          <w:bCs/>
          <w:color w:val="7030A0"/>
          <w:highlight w:val="none"/>
          <w:lang w:val="en-US" w:eastAsia="zh-CN"/>
        </w:rPr>
      </w:pPr>
      <w:r>
        <w:rPr>
          <w:rFonts w:hint="eastAsia"/>
          <w:b/>
          <w:bCs/>
          <w:color w:val="7030A0"/>
          <w:highlight w:val="none"/>
          <w:lang w:val="en-US" w:eastAsia="zh-CN"/>
        </w:rPr>
        <w:t>2.29个城市为“国家食品安全示范城市”</w:t>
      </w:r>
    </w:p>
    <w:p>
      <w:pPr>
        <w:rPr>
          <w:rFonts w:hint="eastAsia"/>
          <w:lang w:eastAsia="zh-CN"/>
        </w:rPr>
      </w:pPr>
      <w:r>
        <w:rPr>
          <w:rFonts w:hint="eastAsia"/>
          <w:lang w:eastAsia="zh-CN"/>
        </w:rPr>
        <w:t>2022年11月8日电，日前，经报请</w:t>
      </w:r>
      <w:r>
        <w:rPr>
          <w:rFonts w:hint="eastAsia"/>
          <w:b/>
          <w:bCs/>
          <w:lang w:eastAsia="zh-CN"/>
        </w:rPr>
        <w:t>国务院食品安全委员会</w:t>
      </w:r>
      <w:r>
        <w:rPr>
          <w:rFonts w:hint="eastAsia"/>
          <w:lang w:eastAsia="zh-CN"/>
        </w:rPr>
        <w:t>批准，国务院食品安全办</w:t>
      </w:r>
      <w:r>
        <w:rPr>
          <w:rFonts w:hint="eastAsia"/>
          <w:b/>
          <w:bCs/>
          <w:lang w:eastAsia="zh-CN"/>
        </w:rPr>
        <w:t>正式命名29个城市为“国家食品安全示范城市”。</w:t>
      </w:r>
    </w:p>
    <w:p>
      <w:pPr>
        <w:pStyle w:val="8"/>
        <w:shd w:val="clear" w:fill="F1F1F1" w:themeFill="background1" w:themeFillShade="F2"/>
        <w:bidi w:val="0"/>
        <w:rPr>
          <w:rFonts w:hint="eastAsia"/>
          <w:lang w:eastAsia="zh-CN"/>
        </w:rPr>
      </w:pPr>
      <w:r>
        <w:rPr>
          <w:rFonts w:hint="eastAsia"/>
          <w:lang w:eastAsia="zh-CN"/>
        </w:rPr>
        <w:t>军队建设</w:t>
      </w:r>
    </w:p>
    <w:p>
      <w:pPr>
        <w:rPr>
          <w:rFonts w:hint="default"/>
          <w:b/>
          <w:bCs/>
          <w:color w:val="7030A0"/>
          <w:highlight w:val="none"/>
          <w:lang w:val="en-US" w:eastAsia="zh-CN"/>
        </w:rPr>
      </w:pPr>
      <w:r>
        <w:rPr>
          <w:rFonts w:hint="eastAsia"/>
          <w:b/>
          <w:bCs/>
          <w:color w:val="7030A0"/>
          <w:highlight w:val="none"/>
          <w:lang w:val="en-US" w:eastAsia="zh-CN"/>
        </w:rPr>
        <w:t>1.中央军委印发《关于深化军委主席负责制贯彻落实的若干意见》</w:t>
      </w:r>
    </w:p>
    <w:p>
      <w:pPr>
        <w:pStyle w:val="4"/>
        <w:rPr>
          <w:rFonts w:hint="eastAsia"/>
          <w:lang w:eastAsia="zh-CN"/>
        </w:rPr>
      </w:pPr>
      <w:r>
        <w:rPr>
          <w:rFonts w:hint="eastAsia"/>
          <w:lang w:eastAsia="zh-CN"/>
        </w:rPr>
        <w:t>2022年11月4日电，中央军委印发《关于深化军委主席负责制贯彻落实的若干意见》。《意见》指出，党的十八大以来，</w:t>
      </w:r>
      <w:r>
        <w:rPr>
          <w:rFonts w:hint="eastAsia"/>
          <w:b/>
          <w:bCs/>
          <w:lang w:eastAsia="zh-CN"/>
        </w:rPr>
        <w:t>党中央和中央军委贯彻军委主席负责制</w:t>
      </w:r>
      <w:r>
        <w:rPr>
          <w:rFonts w:hint="eastAsia"/>
          <w:lang w:eastAsia="zh-CN"/>
        </w:rPr>
        <w:t>，为</w:t>
      </w:r>
      <w:r>
        <w:rPr>
          <w:rFonts w:hint="eastAsia"/>
          <w:b/>
          <w:bCs/>
          <w:lang w:eastAsia="zh-CN"/>
        </w:rPr>
        <w:t>我军实现伟大变革提供了根本制度保障</w:t>
      </w:r>
      <w:r>
        <w:rPr>
          <w:rFonts w:hint="eastAsia"/>
          <w:lang w:eastAsia="zh-CN"/>
        </w:rPr>
        <w:t>。</w:t>
      </w:r>
    </w:p>
    <w:p>
      <w:pPr>
        <w:rPr>
          <w:rFonts w:hint="default"/>
          <w:b/>
          <w:bCs/>
          <w:color w:val="7030A0"/>
          <w:highlight w:val="none"/>
          <w:lang w:val="en-US" w:eastAsia="zh-CN"/>
        </w:rPr>
      </w:pPr>
      <w:r>
        <w:rPr>
          <w:rFonts w:hint="eastAsia"/>
          <w:b/>
          <w:bCs/>
          <w:color w:val="7030A0"/>
          <w:highlight w:val="none"/>
          <w:lang w:val="en-US" w:eastAsia="zh-CN"/>
        </w:rPr>
        <w:t>2.习近平视察军委联合作战指挥中心</w:t>
      </w:r>
    </w:p>
    <w:p>
      <w:pPr>
        <w:rPr>
          <w:rFonts w:hint="eastAsia" w:eastAsiaTheme="minorEastAsia"/>
          <w:lang w:eastAsia="zh-CN"/>
        </w:rPr>
      </w:pPr>
      <w:r>
        <w:rPr>
          <w:rFonts w:hint="eastAsia" w:eastAsiaTheme="minorEastAsia"/>
          <w:lang w:eastAsia="zh-CN"/>
        </w:rPr>
        <w:t>2022年11月8日，习近平视察军委联合作战指挥中心。习近平强调，全军要贯彻新时代党的强军思想，贯彻新时代军事战略方针，</w:t>
      </w:r>
      <w:r>
        <w:rPr>
          <w:rFonts w:hint="eastAsia" w:eastAsiaTheme="minorEastAsia"/>
          <w:b/>
          <w:bCs/>
          <w:lang w:eastAsia="zh-CN"/>
        </w:rPr>
        <w:t>坚持战斗力这个唯一的根本的标准</w:t>
      </w:r>
      <w:r>
        <w:rPr>
          <w:rFonts w:hint="eastAsia" w:eastAsiaTheme="minorEastAsia"/>
          <w:lang w:eastAsia="zh-CN"/>
        </w:rPr>
        <w:t>，全部精力向打仗聚焦，全部工作向打仗用劲，加快提高打赢能力，</w:t>
      </w:r>
      <w:r>
        <w:rPr>
          <w:rFonts w:hint="eastAsia" w:eastAsiaTheme="minorEastAsia"/>
          <w:b/>
          <w:bCs/>
          <w:lang w:eastAsia="zh-CN"/>
        </w:rPr>
        <w:t>坚决捍卫国家主权、安全、发展利益</w:t>
      </w:r>
      <w:r>
        <w:rPr>
          <w:rFonts w:hint="eastAsia" w:eastAsiaTheme="minorEastAsia"/>
          <w:lang w:eastAsia="zh-CN"/>
        </w:rPr>
        <w:t>，完成好党和人民赋予的各项任务。习近平指出，</w:t>
      </w:r>
      <w:r>
        <w:rPr>
          <w:rFonts w:hint="eastAsia" w:eastAsiaTheme="minorEastAsia"/>
          <w:b/>
          <w:bCs/>
          <w:lang w:eastAsia="zh-CN"/>
        </w:rPr>
        <w:t>军委联指中心</w:t>
      </w:r>
      <w:r>
        <w:rPr>
          <w:rFonts w:hint="eastAsia" w:eastAsiaTheme="minorEastAsia"/>
          <w:lang w:eastAsia="zh-CN"/>
        </w:rPr>
        <w:t>是</w:t>
      </w:r>
      <w:r>
        <w:rPr>
          <w:rFonts w:hint="eastAsia" w:eastAsiaTheme="minorEastAsia"/>
          <w:b/>
          <w:bCs/>
          <w:lang w:eastAsia="zh-CN"/>
        </w:rPr>
        <w:t>党中央和中央军委实施战略指挥的重要支撑，地位重要、责任重大</w:t>
      </w:r>
      <w:r>
        <w:rPr>
          <w:rFonts w:hint="eastAsia" w:eastAsiaTheme="minorEastAsia"/>
          <w:lang w:eastAsia="zh-CN"/>
        </w:rPr>
        <w:t>。要牢记职责使命，加强国家安全形势研判，加强军事斗争现实应对，加强指挥运行实践创新，努力建设绝对忠诚、善谋打仗、指挥高效、敢打必胜的战略指挥机构，为全面加强练兵备战、有效履行新时代我军使命任务作出新的更大贡献。</w:t>
      </w:r>
    </w:p>
    <w:p>
      <w:pPr>
        <w:pStyle w:val="8"/>
        <w:bidi w:val="0"/>
        <w:rPr>
          <w:rFonts w:hint="eastAsia"/>
          <w:color w:val="FFFFFF" w:themeColor="background1"/>
          <w:lang w:eastAsia="zh-CN"/>
          <w14:textFill>
            <w14:solidFill>
              <w14:schemeClr w14:val="bg1"/>
            </w14:solidFill>
          </w14:textFill>
        </w:rPr>
      </w:pPr>
      <w:r>
        <w:rPr>
          <w:rFonts w:hint="eastAsia"/>
          <w:color w:val="FFFFFF" w:themeColor="background1"/>
          <w:lang w:eastAsia="zh-CN"/>
          <w14:textFill>
            <w14:solidFill>
              <w14:schemeClr w14:val="bg1"/>
            </w14:solidFill>
          </w14:textFill>
        </w:rPr>
        <w:t>法律类</w:t>
      </w:r>
    </w:p>
    <w:p>
      <w:pPr>
        <w:pStyle w:val="8"/>
        <w:shd w:val="clear" w:fill="F1F1F1" w:themeFill="background1" w:themeFillShade="F2"/>
        <w:bidi w:val="0"/>
        <w:rPr>
          <w:rFonts w:hint="eastAsia"/>
          <w:lang w:eastAsia="zh-CN"/>
        </w:rPr>
      </w:pPr>
      <w:r>
        <w:rPr>
          <w:rFonts w:hint="eastAsia"/>
          <w:lang w:eastAsia="zh-CN"/>
        </w:rPr>
        <w:t>经济类</w:t>
      </w:r>
    </w:p>
    <w:p>
      <w:pPr>
        <w:rPr>
          <w:rFonts w:hint="eastAsia"/>
          <w:b/>
          <w:bCs/>
          <w:color w:val="7030A0"/>
          <w:lang w:eastAsia="zh-CN"/>
        </w:rPr>
      </w:pPr>
      <w:r>
        <w:rPr>
          <w:rFonts w:hint="eastAsia"/>
          <w:b/>
          <w:bCs/>
          <w:color w:val="7030A0"/>
          <w:lang w:val="en-US" w:eastAsia="zh-CN"/>
        </w:rPr>
        <w:t>1.</w:t>
      </w:r>
      <w:r>
        <w:rPr>
          <w:rFonts w:hint="eastAsia"/>
          <w:b/>
          <w:bCs/>
          <w:color w:val="7030A0"/>
          <w:lang w:eastAsia="zh-CN"/>
        </w:rPr>
        <w:t>国家统计局发布数据</w:t>
      </w:r>
    </w:p>
    <w:p>
      <w:pPr>
        <w:rPr>
          <w:rFonts w:hint="eastAsia"/>
          <w:lang w:eastAsia="zh-CN"/>
        </w:rPr>
      </w:pPr>
      <w:r>
        <w:rPr>
          <w:rFonts w:hint="eastAsia"/>
          <w:lang w:eastAsia="zh-CN"/>
        </w:rPr>
        <w:t>2022年10月30日，国家统计局发布数据，今年前三季度，全国规模以上文化及相关产业企业实现营业收入86459亿元，同比增长1.4%。</w:t>
      </w:r>
    </w:p>
    <w:p>
      <w:pPr>
        <w:rPr>
          <w:rFonts w:hint="default"/>
          <w:b/>
          <w:bCs/>
          <w:color w:val="7030A0"/>
          <w:lang w:val="en-US" w:eastAsia="zh-CN"/>
        </w:rPr>
      </w:pPr>
      <w:r>
        <w:rPr>
          <w:rFonts w:hint="eastAsia"/>
          <w:b/>
          <w:bCs/>
          <w:color w:val="7030A0"/>
          <w:lang w:val="en-US" w:eastAsia="zh-CN"/>
        </w:rPr>
        <w:t>2.《虚拟现实与行业应用融合发展行动计划（2022—2026年）》</w:t>
      </w:r>
    </w:p>
    <w:p>
      <w:pPr>
        <w:pStyle w:val="4"/>
        <w:rPr>
          <w:rFonts w:hint="eastAsia"/>
          <w:lang w:eastAsia="zh-CN"/>
        </w:rPr>
      </w:pPr>
      <w:r>
        <w:rPr>
          <w:rFonts w:hint="eastAsia"/>
          <w:lang w:eastAsia="zh-CN"/>
        </w:rPr>
        <w:t>2022年11月2日电，工业和信息化部等部门近日印发《虚拟现实与行业应用融合发展行动计划（2022—2026年）》，其中提出推动</w:t>
      </w:r>
      <w:r>
        <w:rPr>
          <w:rFonts w:hint="eastAsia"/>
          <w:b/>
          <w:bCs/>
          <w:lang w:eastAsia="zh-CN"/>
        </w:rPr>
        <w:t>开展10类“虚拟现实+”规模化应用试点</w:t>
      </w:r>
      <w:r>
        <w:rPr>
          <w:rFonts w:hint="eastAsia"/>
          <w:lang w:eastAsia="zh-CN"/>
        </w:rPr>
        <w:t>，在工业生产、文化旅游、融合媒体、教育培训、体育健康、演艺娱乐、安全应急、残障辅助、商贸创意、智慧城市等虚拟现实重点应用领域实现突破。具体提出</w:t>
      </w:r>
      <w:r>
        <w:rPr>
          <w:rFonts w:hint="eastAsia"/>
          <w:b/>
          <w:bCs/>
          <w:lang w:eastAsia="zh-CN"/>
        </w:rPr>
        <w:t>到2026年</w:t>
      </w:r>
      <w:r>
        <w:rPr>
          <w:rFonts w:hint="eastAsia"/>
          <w:lang w:eastAsia="zh-CN"/>
        </w:rPr>
        <w:t>，</w:t>
      </w:r>
      <w:r>
        <w:rPr>
          <w:rFonts w:hint="eastAsia"/>
          <w:b/>
          <w:bCs/>
          <w:lang w:eastAsia="zh-CN"/>
        </w:rPr>
        <w:t>我国虚拟现实产业总体规模超过3500亿元</w:t>
      </w:r>
      <w:r>
        <w:rPr>
          <w:rFonts w:hint="eastAsia"/>
          <w:lang w:eastAsia="zh-CN"/>
        </w:rPr>
        <w:t>，虚拟现实终端销量超过2500万台，培育100家具有较强创新能力和行业影响力的骨干企业，打造10个具有区域影响力、引领虚拟现实生态发展的集聚区，建成10个产业公共服务平台。</w:t>
      </w:r>
    </w:p>
    <w:p>
      <w:pPr>
        <w:pStyle w:val="4"/>
        <w:rPr>
          <w:rFonts w:hint="default" w:ascii="宋体" w:hAnsi="宋体" w:eastAsia="宋体" w:cs="Times New Roman"/>
          <w:b/>
          <w:bCs/>
          <w:color w:val="7030A0"/>
          <w:kern w:val="2"/>
          <w:sz w:val="21"/>
          <w:szCs w:val="24"/>
          <w:lang w:val="en-US" w:eastAsia="zh-CN" w:bidi="ar-SA"/>
        </w:rPr>
      </w:pPr>
      <w:r>
        <w:rPr>
          <w:rFonts w:hint="eastAsia" w:ascii="宋体" w:hAnsi="宋体" w:eastAsia="宋体" w:cs="Times New Roman"/>
          <w:b/>
          <w:bCs/>
          <w:color w:val="7030A0"/>
          <w:kern w:val="2"/>
          <w:sz w:val="21"/>
          <w:szCs w:val="24"/>
          <w:lang w:val="en-US" w:eastAsia="zh-CN" w:bidi="ar-SA"/>
        </w:rPr>
        <w:t>3.“最缺工”的100个职业</w:t>
      </w:r>
    </w:p>
    <w:p>
      <w:pPr>
        <w:pStyle w:val="4"/>
        <w:rPr>
          <w:rFonts w:hint="eastAsia"/>
          <w:lang w:eastAsia="zh-CN"/>
        </w:rPr>
      </w:pPr>
      <w:r>
        <w:rPr>
          <w:rFonts w:hint="eastAsia"/>
          <w:lang w:eastAsia="zh-CN"/>
        </w:rPr>
        <w:t>2022年11月2日电，人社部公布三季度</w:t>
      </w:r>
      <w:r>
        <w:rPr>
          <w:rFonts w:hint="eastAsia"/>
          <w:b/>
          <w:bCs/>
          <w:lang w:eastAsia="zh-CN"/>
        </w:rPr>
        <w:t>“最缺工”的100个职业</w:t>
      </w:r>
      <w:r>
        <w:rPr>
          <w:rFonts w:hint="eastAsia"/>
          <w:lang w:eastAsia="zh-CN"/>
        </w:rPr>
        <w:t>排行，</w:t>
      </w:r>
      <w:r>
        <w:rPr>
          <w:rFonts w:hint="eastAsia"/>
          <w:b/>
          <w:bCs/>
          <w:lang w:eastAsia="zh-CN"/>
        </w:rPr>
        <w:t>营销员、车工、餐厅服务员排行前三</w:t>
      </w:r>
      <w:r>
        <w:rPr>
          <w:rFonts w:hint="eastAsia"/>
          <w:lang w:eastAsia="zh-CN"/>
        </w:rPr>
        <w:t>。</w:t>
      </w:r>
    </w:p>
    <w:p>
      <w:pPr>
        <w:pStyle w:val="4"/>
        <w:rPr>
          <w:rFonts w:hint="default" w:ascii="宋体" w:hAnsi="宋体" w:eastAsia="宋体" w:cs="Times New Roman"/>
          <w:b/>
          <w:bCs/>
          <w:color w:val="7030A0"/>
          <w:kern w:val="2"/>
          <w:sz w:val="21"/>
          <w:szCs w:val="24"/>
          <w:lang w:val="en-US" w:eastAsia="zh-CN" w:bidi="ar-SA"/>
        </w:rPr>
      </w:pPr>
      <w:r>
        <w:rPr>
          <w:rFonts w:hint="eastAsia" w:ascii="宋体" w:hAnsi="宋体" w:eastAsia="宋体" w:cs="Times New Roman"/>
          <w:b/>
          <w:bCs/>
          <w:color w:val="7030A0"/>
          <w:kern w:val="2"/>
          <w:sz w:val="21"/>
          <w:szCs w:val="24"/>
          <w:lang w:val="en-US" w:eastAsia="zh-CN" w:bidi="ar-SA"/>
        </w:rPr>
        <w:t>4.在全国增设29个国家进口贸易促进创新示范区</w:t>
      </w:r>
    </w:p>
    <w:p>
      <w:pPr>
        <w:rPr>
          <w:rFonts w:hint="eastAsia" w:eastAsiaTheme="minorEastAsia"/>
          <w:lang w:eastAsia="zh-CN"/>
        </w:rPr>
      </w:pPr>
      <w:r>
        <w:rPr>
          <w:rFonts w:hint="eastAsia" w:eastAsiaTheme="minorEastAsia"/>
          <w:lang w:eastAsia="zh-CN"/>
        </w:rPr>
        <w:t>2022年11月4日电，商务部等8部门决定，在</w:t>
      </w:r>
      <w:r>
        <w:rPr>
          <w:rFonts w:hint="eastAsia" w:eastAsiaTheme="minorEastAsia"/>
          <w:b/>
          <w:bCs/>
          <w:lang w:eastAsia="zh-CN"/>
        </w:rPr>
        <w:t>全国增设29个国家进口贸易促进创新示范区</w:t>
      </w:r>
      <w:r>
        <w:rPr>
          <w:rFonts w:hint="eastAsia" w:eastAsiaTheme="minorEastAsia"/>
          <w:lang w:eastAsia="zh-CN"/>
        </w:rPr>
        <w:t>。截至目前，</w:t>
      </w:r>
      <w:r>
        <w:rPr>
          <w:rFonts w:hint="eastAsia" w:eastAsiaTheme="minorEastAsia"/>
          <w:b/>
          <w:bCs/>
          <w:lang w:eastAsia="zh-CN"/>
        </w:rPr>
        <w:t>进口示范区已达43个</w:t>
      </w:r>
      <w:r>
        <w:rPr>
          <w:rFonts w:hint="eastAsia" w:eastAsiaTheme="minorEastAsia"/>
          <w:lang w:eastAsia="zh-CN"/>
        </w:rPr>
        <w:t>。新设立的进口示范区要从各自地区开放实际出发，</w:t>
      </w:r>
      <w:r>
        <w:rPr>
          <w:rFonts w:hint="eastAsia" w:eastAsiaTheme="minorEastAsia"/>
          <w:b/>
          <w:bCs/>
          <w:lang w:eastAsia="zh-CN"/>
        </w:rPr>
        <w:t>切实强化贸易促进和贸易创新两大功能</w:t>
      </w:r>
      <w:r>
        <w:rPr>
          <w:rFonts w:hint="eastAsia" w:eastAsiaTheme="minorEastAsia"/>
          <w:lang w:eastAsia="zh-CN"/>
        </w:rPr>
        <w:t>，着力优化营商环境，发挥促进进口、服务产业、提升消费、示范引领四大作用。</w:t>
      </w:r>
    </w:p>
    <w:p>
      <w:pPr>
        <w:pStyle w:val="4"/>
        <w:rPr>
          <w:rFonts w:hint="default"/>
          <w:b/>
          <w:bCs/>
          <w:color w:val="7030A0"/>
          <w:lang w:val="en-US" w:eastAsia="zh-CN"/>
        </w:rPr>
      </w:pPr>
      <w:r>
        <w:rPr>
          <w:rFonts w:hint="eastAsia"/>
          <w:b/>
          <w:bCs/>
          <w:color w:val="7030A0"/>
          <w:lang w:val="en-US" w:eastAsia="zh-CN"/>
        </w:rPr>
        <w:t>5.到2025年每个脱贫县每年安排新增建设用地计划指标</w:t>
      </w:r>
    </w:p>
    <w:p>
      <w:pPr>
        <w:pStyle w:val="4"/>
        <w:rPr>
          <w:rFonts w:hint="eastAsia"/>
          <w:lang w:eastAsia="zh-CN"/>
        </w:rPr>
      </w:pPr>
      <w:r>
        <w:rPr>
          <w:rFonts w:hint="eastAsia"/>
          <w:lang w:eastAsia="zh-CN"/>
        </w:rPr>
        <w:t>2022年11月4日电，从自然资源部获悉，</w:t>
      </w:r>
      <w:r>
        <w:rPr>
          <w:rFonts w:hint="eastAsia"/>
          <w:b/>
          <w:bCs/>
          <w:lang w:eastAsia="zh-CN"/>
        </w:rPr>
        <w:t>到2025年每个脱贫县每年安排新增建设用地计划指标600亩，专项用于巩固拓展脱贫攻坚成果和乡村振兴用地需要</w:t>
      </w:r>
      <w:r>
        <w:rPr>
          <w:rFonts w:hint="eastAsia"/>
          <w:lang w:eastAsia="zh-CN"/>
        </w:rPr>
        <w:t>。</w:t>
      </w:r>
    </w:p>
    <w:p>
      <w:pPr>
        <w:bidi w:val="0"/>
        <w:rPr>
          <w:rFonts w:hint="default" w:eastAsia="宋体"/>
          <w:b/>
          <w:bCs/>
          <w:color w:val="7030A0"/>
          <w:lang w:val="en-US" w:eastAsia="zh-CN"/>
        </w:rPr>
      </w:pPr>
      <w:r>
        <w:rPr>
          <w:rFonts w:hint="eastAsia"/>
          <w:b/>
          <w:bCs/>
          <w:color w:val="7030A0"/>
          <w:lang w:val="en-US" w:eastAsia="zh-CN"/>
        </w:rPr>
        <w:t>6.</w:t>
      </w:r>
      <w:r>
        <w:rPr>
          <w:rFonts w:hint="eastAsia" w:eastAsia="宋体"/>
          <w:b/>
          <w:bCs/>
          <w:color w:val="7030A0"/>
          <w:lang w:eastAsia="zh-CN"/>
        </w:rPr>
        <w:t>首届全国智慧灌溉论坛暨国家灌溉农业绿色发展联盟会议</w:t>
      </w:r>
    </w:p>
    <w:p>
      <w:pPr>
        <w:bidi w:val="0"/>
        <w:rPr>
          <w:rFonts w:hint="eastAsia"/>
          <w:lang w:eastAsia="zh-CN"/>
        </w:rPr>
      </w:pPr>
      <w:r>
        <w:rPr>
          <w:rFonts w:hint="eastAsia" w:eastAsia="宋体"/>
          <w:lang w:eastAsia="zh-CN"/>
        </w:rPr>
        <w:t>2022年11月6日电，首届</w:t>
      </w:r>
      <w:r>
        <w:rPr>
          <w:rFonts w:hint="eastAsia" w:eastAsia="宋体"/>
          <w:b/>
          <w:bCs/>
          <w:lang w:eastAsia="zh-CN"/>
        </w:rPr>
        <w:t>全国智慧灌溉论坛暨国家灌溉农业绿色发展联盟会议</w:t>
      </w:r>
      <w:r>
        <w:rPr>
          <w:rFonts w:hint="eastAsia" w:eastAsia="宋体"/>
          <w:lang w:eastAsia="zh-CN"/>
        </w:rPr>
        <w:t>召开。会议指出，我国有效灌溉面积由1949年的2.4亿亩发展到2021年的10.37亿亩。</w:t>
      </w:r>
      <w:r>
        <w:rPr>
          <w:rFonts w:hint="eastAsia" w:eastAsia="宋体"/>
          <w:b/>
          <w:bCs/>
          <w:lang w:eastAsia="zh-CN"/>
        </w:rPr>
        <w:t>当前我国耕地灌溉率高达51%，</w:t>
      </w:r>
      <w:r>
        <w:rPr>
          <w:rFonts w:hint="eastAsia" w:eastAsia="宋体"/>
          <w:lang w:eastAsia="zh-CN"/>
        </w:rPr>
        <w:t>是</w:t>
      </w:r>
      <w:r>
        <w:rPr>
          <w:rFonts w:hint="eastAsia" w:eastAsia="宋体"/>
          <w:b/>
          <w:bCs/>
          <w:lang w:eastAsia="zh-CN"/>
        </w:rPr>
        <w:t>世界平均水平的2.68倍</w:t>
      </w:r>
      <w:r>
        <w:rPr>
          <w:rFonts w:hint="eastAsia" w:eastAsia="宋体"/>
          <w:lang w:eastAsia="zh-CN"/>
        </w:rPr>
        <w:t>。</w:t>
      </w:r>
      <w:r>
        <w:rPr>
          <w:rFonts w:hint="eastAsia" w:eastAsia="宋体"/>
          <w:b/>
          <w:bCs/>
          <w:lang w:eastAsia="zh-CN"/>
        </w:rPr>
        <w:t>中国已成为世界第一灌溉大国</w:t>
      </w:r>
      <w:r>
        <w:rPr>
          <w:rFonts w:hint="eastAsia" w:eastAsia="宋体"/>
          <w:lang w:eastAsia="zh-CN"/>
        </w:rPr>
        <w:t>。</w:t>
      </w:r>
    </w:p>
    <w:p>
      <w:pPr>
        <w:bidi w:val="0"/>
        <w:rPr>
          <w:rFonts w:hint="default" w:eastAsia="宋体"/>
          <w:b/>
          <w:bCs/>
          <w:color w:val="7030A0"/>
          <w:lang w:val="en-US" w:eastAsia="zh-CN"/>
        </w:rPr>
      </w:pPr>
      <w:r>
        <w:rPr>
          <w:rFonts w:hint="eastAsia"/>
          <w:b/>
          <w:bCs/>
          <w:color w:val="7030A0"/>
          <w:lang w:val="en-US" w:eastAsia="zh-CN"/>
        </w:rPr>
        <w:t>7.《世界开放报告2022》</w:t>
      </w:r>
    </w:p>
    <w:p>
      <w:pPr>
        <w:bidi w:val="0"/>
        <w:rPr>
          <w:rFonts w:hint="eastAsia"/>
          <w:lang w:eastAsia="zh-CN"/>
        </w:rPr>
      </w:pPr>
      <w:r>
        <w:rPr>
          <w:rFonts w:hint="eastAsia" w:eastAsia="宋体"/>
          <w:lang w:eastAsia="zh-CN"/>
        </w:rPr>
        <w:t>2022年11月6日电，</w:t>
      </w:r>
      <w:r>
        <w:rPr>
          <w:rFonts w:hint="eastAsia" w:eastAsia="宋体"/>
          <w:b/>
          <w:bCs/>
          <w:lang w:eastAsia="zh-CN"/>
        </w:rPr>
        <w:t>第五届虹桥国际经济论坛发布</w:t>
      </w:r>
      <w:r>
        <w:rPr>
          <w:rFonts w:hint="eastAsia" w:eastAsia="宋体"/>
          <w:lang w:eastAsia="zh-CN"/>
        </w:rPr>
        <w:t>的</w:t>
      </w:r>
      <w:r>
        <w:rPr>
          <w:rFonts w:hint="eastAsia" w:eastAsia="宋体"/>
          <w:b/>
          <w:bCs/>
          <w:lang w:eastAsia="zh-CN"/>
        </w:rPr>
        <w:t>《世界开放报告2022</w:t>
      </w:r>
      <w:r>
        <w:rPr>
          <w:rFonts w:hint="eastAsia" w:eastAsia="宋体"/>
          <w:lang w:eastAsia="zh-CN"/>
        </w:rPr>
        <w:t>》显示，中国坚持高水平对外开放取得进展，开放指数从2012年的0.7107提升至2020年的0.7507，提高了5.6%，</w:t>
      </w:r>
      <w:r>
        <w:rPr>
          <w:rFonts w:hint="eastAsia" w:eastAsia="宋体"/>
          <w:b/>
          <w:bCs/>
          <w:lang w:eastAsia="zh-CN"/>
        </w:rPr>
        <w:t>排名从第47位提升至第39位</w:t>
      </w:r>
      <w:r>
        <w:rPr>
          <w:rFonts w:hint="eastAsia" w:eastAsia="宋体"/>
          <w:lang w:eastAsia="zh-CN"/>
        </w:rPr>
        <w:t>，成为推动经济全球化的重要力量。</w:t>
      </w:r>
    </w:p>
    <w:p>
      <w:pPr>
        <w:bidi w:val="0"/>
        <w:rPr>
          <w:rFonts w:hint="default" w:eastAsia="宋体"/>
          <w:b/>
          <w:bCs/>
          <w:color w:val="7030A0"/>
          <w:lang w:val="en-US" w:eastAsia="zh-CN"/>
        </w:rPr>
      </w:pPr>
      <w:r>
        <w:rPr>
          <w:rFonts w:hint="eastAsia"/>
          <w:b/>
          <w:bCs/>
          <w:color w:val="7030A0"/>
          <w:lang w:val="en-US" w:eastAsia="zh-CN"/>
        </w:rPr>
        <w:t>8.2022年国家公务员国考报名相关情况</w:t>
      </w:r>
    </w:p>
    <w:p>
      <w:pPr>
        <w:bidi w:val="0"/>
        <w:rPr>
          <w:rFonts w:hint="eastAsia"/>
          <w:lang w:eastAsia="zh-CN"/>
        </w:rPr>
      </w:pPr>
      <w:r>
        <w:rPr>
          <w:rFonts w:hint="eastAsia" w:eastAsia="宋体"/>
          <w:lang w:eastAsia="zh-CN"/>
        </w:rPr>
        <w:t>2022年11月7日，国家公务员局发布消息，259.77万人通过2023年国考资格审查，与录用计划数之比约为70比1。</w:t>
      </w:r>
    </w:p>
    <w:p>
      <w:pPr>
        <w:rPr>
          <w:rFonts w:hint="default" w:eastAsia="宋体"/>
          <w:b/>
          <w:bCs/>
          <w:color w:val="7030A0"/>
          <w:highlight w:val="none"/>
          <w:lang w:val="en-US" w:eastAsia="zh-CN"/>
        </w:rPr>
      </w:pPr>
      <w:r>
        <w:rPr>
          <w:rFonts w:hint="eastAsia"/>
          <w:b/>
          <w:bCs/>
          <w:color w:val="7030A0"/>
          <w:highlight w:val="none"/>
          <w:lang w:val="en-US" w:eastAsia="zh-CN"/>
        </w:rPr>
        <w:t>9.我国首个住房租赁基金正式成立</w:t>
      </w:r>
    </w:p>
    <w:p>
      <w:pPr>
        <w:rPr>
          <w:rFonts w:hint="eastAsia" w:eastAsia="宋体"/>
          <w:color w:val="auto"/>
          <w:highlight w:val="none"/>
          <w:lang w:eastAsia="zh-CN"/>
        </w:rPr>
      </w:pPr>
      <w:r>
        <w:rPr>
          <w:rFonts w:hint="eastAsia" w:eastAsia="宋体"/>
          <w:color w:val="auto"/>
          <w:highlight w:val="none"/>
          <w:lang w:eastAsia="zh-CN"/>
        </w:rPr>
        <w:t>2022年11月11日电，近日，我国</w:t>
      </w:r>
      <w:r>
        <w:rPr>
          <w:rFonts w:hint="eastAsia" w:eastAsia="宋体"/>
          <w:b/>
          <w:bCs/>
          <w:color w:val="auto"/>
          <w:highlight w:val="none"/>
          <w:lang w:eastAsia="zh-CN"/>
        </w:rPr>
        <w:t>首个住房租赁基金</w:t>
      </w:r>
      <w:r>
        <w:rPr>
          <w:rFonts w:hint="eastAsia" w:eastAsia="宋体"/>
          <w:color w:val="auto"/>
          <w:highlight w:val="none"/>
          <w:lang w:eastAsia="zh-CN"/>
        </w:rPr>
        <w:t>在北京正式设立，将通过盘活市场存量房产，向个人租户提供长租房服务。</w:t>
      </w:r>
    </w:p>
    <w:p>
      <w:pPr>
        <w:pStyle w:val="2"/>
        <w:rPr>
          <w:rFonts w:hint="eastAsia" w:ascii="宋体" w:hAnsi="宋体" w:eastAsia="宋体" w:cs="Times New Roman"/>
          <w:b/>
          <w:bCs/>
          <w:color w:val="7030A0"/>
          <w:kern w:val="2"/>
          <w:sz w:val="21"/>
          <w:szCs w:val="24"/>
          <w:highlight w:val="none"/>
          <w:lang w:val="en-US" w:eastAsia="zh-CN" w:bidi="ar-SA"/>
        </w:rPr>
      </w:pPr>
      <w:r>
        <w:rPr>
          <w:rFonts w:hint="eastAsia" w:ascii="宋体" w:hAnsi="宋体" w:eastAsia="宋体" w:cs="Times New Roman"/>
          <w:b/>
          <w:bCs/>
          <w:color w:val="7030A0"/>
          <w:kern w:val="2"/>
          <w:sz w:val="21"/>
          <w:szCs w:val="24"/>
          <w:highlight w:val="none"/>
          <w:lang w:val="en-US" w:eastAsia="zh-CN" w:bidi="ar-SA"/>
        </w:rPr>
        <w:t>10.第十一届中国国际石油贸易大会</w:t>
      </w:r>
    </w:p>
    <w:p>
      <w:pPr>
        <w:pStyle w:val="2"/>
        <w:rPr>
          <w:rFonts w:hint="eastAsia" w:eastAsia="宋体"/>
          <w:color w:val="auto"/>
          <w:highlight w:val="none"/>
          <w:lang w:eastAsia="zh-CN"/>
        </w:rPr>
      </w:pPr>
      <w:r>
        <w:rPr>
          <w:rFonts w:hint="eastAsia" w:ascii="宋体" w:hAnsi="宋体" w:eastAsia="宋体" w:cs="Times New Roman"/>
          <w:color w:val="auto"/>
          <w:kern w:val="2"/>
          <w:sz w:val="21"/>
          <w:szCs w:val="24"/>
          <w:highlight w:val="none"/>
          <w:lang w:val="en-US" w:eastAsia="zh-CN" w:bidi="ar-SA"/>
        </w:rPr>
        <w:t>2022年11月8日至9日</w:t>
      </w:r>
      <w:r>
        <w:rPr>
          <w:rFonts w:hint="eastAsia" w:eastAsia="宋体"/>
          <w:color w:val="auto"/>
          <w:highlight w:val="none"/>
          <w:lang w:eastAsia="zh-CN"/>
        </w:rPr>
        <w:t>，</w:t>
      </w:r>
      <w:r>
        <w:rPr>
          <w:rFonts w:hint="eastAsia" w:eastAsia="宋体"/>
          <w:b/>
          <w:bCs/>
          <w:color w:val="auto"/>
          <w:highlight w:val="none"/>
          <w:lang w:eastAsia="zh-CN"/>
        </w:rPr>
        <w:t>第十一届中国国际石油贸易大会</w:t>
      </w:r>
      <w:r>
        <w:rPr>
          <w:rFonts w:hint="eastAsia" w:eastAsia="宋体"/>
          <w:color w:val="auto"/>
          <w:highlight w:val="none"/>
          <w:lang w:eastAsia="zh-CN"/>
        </w:rPr>
        <w:t>在上海举办，大会以</w:t>
      </w:r>
      <w:r>
        <w:rPr>
          <w:rFonts w:hint="eastAsia" w:eastAsia="宋体"/>
          <w:b/>
          <w:bCs/>
          <w:color w:val="auto"/>
          <w:highlight w:val="none"/>
          <w:lang w:eastAsia="zh-CN"/>
        </w:rPr>
        <w:t>“深化油气国际贸易与合作，促进经济社会高质量发展”</w:t>
      </w:r>
      <w:r>
        <w:rPr>
          <w:rFonts w:hint="eastAsia" w:eastAsia="宋体"/>
          <w:color w:val="auto"/>
          <w:highlight w:val="none"/>
          <w:lang w:eastAsia="zh-CN"/>
        </w:rPr>
        <w:t>为主题。</w:t>
      </w:r>
    </w:p>
    <w:p>
      <w:pPr>
        <w:pStyle w:val="4"/>
        <w:rPr>
          <w:rFonts w:hint="default" w:eastAsia="宋体"/>
          <w:b/>
          <w:bCs/>
          <w:color w:val="7030A0"/>
          <w:lang w:val="en-US" w:eastAsia="zh-CN"/>
        </w:rPr>
      </w:pPr>
      <w:r>
        <w:rPr>
          <w:rFonts w:hint="eastAsia"/>
          <w:b/>
          <w:bCs/>
          <w:color w:val="7030A0"/>
          <w:lang w:val="en-US" w:eastAsia="zh-CN"/>
        </w:rPr>
        <w:t>11.第五届中国国际进口博览会</w:t>
      </w:r>
    </w:p>
    <w:p>
      <w:pPr>
        <w:pStyle w:val="4"/>
        <w:rPr>
          <w:rFonts w:hint="eastAsia"/>
          <w:color w:val="auto"/>
          <w:highlight w:val="none"/>
          <w:lang w:eastAsia="zh-CN"/>
        </w:rPr>
      </w:pPr>
      <w:r>
        <w:rPr>
          <w:rFonts w:hint="eastAsia"/>
          <w:color w:val="auto"/>
          <w:highlight w:val="none"/>
          <w:lang w:eastAsia="zh-CN"/>
        </w:rPr>
        <w:t>2022年11月12日电，第五届中国国际进口博览会按一年计意向成交金额735.2亿美元，比上届增长3.9%。</w:t>
      </w:r>
    </w:p>
    <w:p>
      <w:pPr>
        <w:pStyle w:val="4"/>
        <w:rPr>
          <w:rFonts w:hint="default"/>
          <w:b/>
          <w:bCs/>
          <w:color w:val="7030A0"/>
          <w:highlight w:val="none"/>
          <w:lang w:val="en-US" w:eastAsia="zh-CN"/>
        </w:rPr>
      </w:pPr>
      <w:r>
        <w:rPr>
          <w:rFonts w:hint="eastAsia"/>
          <w:b/>
          <w:bCs/>
          <w:color w:val="7030A0"/>
          <w:highlight w:val="none"/>
          <w:lang w:val="en-US" w:eastAsia="zh-CN"/>
        </w:rPr>
        <w:t>12.习近平向“杂交水稻援外与世界粮食安全”国际论坛发表书面致辞</w:t>
      </w:r>
    </w:p>
    <w:p>
      <w:pPr>
        <w:pStyle w:val="4"/>
        <w:rPr>
          <w:rFonts w:hint="eastAsia"/>
          <w:lang w:eastAsia="zh-CN"/>
        </w:rPr>
      </w:pPr>
      <w:r>
        <w:rPr>
          <w:rFonts w:hint="eastAsia"/>
          <w:lang w:eastAsia="zh-CN"/>
        </w:rPr>
        <w:t>2022年11月12日，习近平向</w:t>
      </w:r>
      <w:r>
        <w:rPr>
          <w:rFonts w:hint="eastAsia"/>
          <w:b/>
          <w:bCs/>
          <w:lang w:eastAsia="zh-CN"/>
        </w:rPr>
        <w:t>“杂交水稻援外与世界粮食安全”国际论坛</w:t>
      </w:r>
      <w:r>
        <w:rPr>
          <w:rFonts w:hint="eastAsia"/>
          <w:lang w:eastAsia="zh-CN"/>
        </w:rPr>
        <w:t>发表书面致辞。习近平指出，</w:t>
      </w:r>
      <w:r>
        <w:rPr>
          <w:rFonts w:hint="eastAsia"/>
          <w:b/>
          <w:bCs/>
          <w:lang w:eastAsia="zh-CN"/>
        </w:rPr>
        <w:t>粮食安全是事关人类生存的根本性问题</w:t>
      </w:r>
      <w:r>
        <w:rPr>
          <w:rFonts w:hint="eastAsia"/>
          <w:lang w:eastAsia="zh-CN"/>
        </w:rPr>
        <w:t>。半个世纪前，杂交水稻在中国率先成功研发并大面积推广，助力中国用不足全球9%的耕地，解决世界近五分之一人口吃饭问题，成为世界第一大粮食生产国和第三大粮食出口国。2022年11月13日电，据联合国《世界人口展望2022》报告预计，到11月15日，全球人口将达到80亿。到2030年，全球人口将增长至85亿左右。</w:t>
      </w:r>
    </w:p>
    <w:p>
      <w:pPr>
        <w:rPr>
          <w:rFonts w:hint="default"/>
          <w:b/>
          <w:bCs/>
          <w:color w:val="7030A0"/>
          <w:lang w:val="en-US" w:eastAsia="zh-CN"/>
        </w:rPr>
      </w:pPr>
      <w:r>
        <w:rPr>
          <w:rFonts w:hint="eastAsia"/>
          <w:b/>
          <w:bCs/>
          <w:color w:val="7030A0"/>
          <w:lang w:val="en-US" w:eastAsia="zh-CN"/>
        </w:rPr>
        <w:t>13.第二十三届中国中部（湖南）农业博览会</w:t>
      </w:r>
    </w:p>
    <w:p>
      <w:pPr>
        <w:rPr>
          <w:rFonts w:hint="eastAsia"/>
          <w:lang w:eastAsia="zh-CN"/>
        </w:rPr>
      </w:pPr>
      <w:r>
        <w:rPr>
          <w:rFonts w:hint="eastAsia"/>
          <w:lang w:eastAsia="zh-CN"/>
        </w:rPr>
        <w:t>2022年10月31日电，</w:t>
      </w:r>
      <w:r>
        <w:rPr>
          <w:rFonts w:hint="eastAsia"/>
          <w:b/>
          <w:bCs/>
          <w:lang w:eastAsia="zh-CN"/>
        </w:rPr>
        <w:t>第二十三届中国中部（湖南）农业博览会</w:t>
      </w:r>
      <w:r>
        <w:rPr>
          <w:rFonts w:hint="eastAsia"/>
          <w:lang w:eastAsia="zh-CN"/>
        </w:rPr>
        <w:t>近日在</w:t>
      </w:r>
      <w:r>
        <w:rPr>
          <w:rFonts w:hint="eastAsia"/>
          <w:b/>
          <w:bCs/>
          <w:lang w:eastAsia="zh-CN"/>
        </w:rPr>
        <w:t>湖南长沙</w:t>
      </w:r>
      <w:r>
        <w:rPr>
          <w:rFonts w:hint="eastAsia"/>
          <w:lang w:eastAsia="zh-CN"/>
        </w:rPr>
        <w:t>开幕。本届农博会以</w:t>
      </w:r>
      <w:r>
        <w:rPr>
          <w:rFonts w:hint="eastAsia"/>
          <w:b/>
          <w:bCs/>
          <w:lang w:eastAsia="zh-CN"/>
        </w:rPr>
        <w:t>“品牌引领现代农业，科技赋能乡村振兴”</w:t>
      </w:r>
      <w:r>
        <w:rPr>
          <w:rFonts w:hint="eastAsia"/>
          <w:lang w:eastAsia="zh-CN"/>
        </w:rPr>
        <w:t>为主题。</w:t>
      </w:r>
    </w:p>
    <w:p>
      <w:pPr>
        <w:pStyle w:val="4"/>
        <w:rPr>
          <w:rFonts w:hint="eastAsia"/>
          <w:lang w:eastAsia="zh-CN"/>
        </w:rPr>
      </w:pPr>
    </w:p>
    <w:p>
      <w:pPr>
        <w:pStyle w:val="8"/>
        <w:shd w:val="clear" w:fill="F1F1F1" w:themeFill="background1" w:themeFillShade="F2"/>
        <w:bidi w:val="0"/>
        <w:rPr>
          <w:rFonts w:hint="eastAsia"/>
          <w:lang w:eastAsia="zh-CN"/>
        </w:rPr>
      </w:pPr>
      <w:r>
        <w:rPr>
          <w:rFonts w:hint="eastAsia"/>
          <w:lang w:eastAsia="zh-CN"/>
        </w:rPr>
        <w:t>建设类</w:t>
      </w:r>
    </w:p>
    <w:p>
      <w:pPr>
        <w:bidi w:val="0"/>
        <w:rPr>
          <w:rFonts w:hint="default"/>
          <w:b/>
          <w:bCs/>
          <w:color w:val="7030A0"/>
          <w:highlight w:val="none"/>
          <w:lang w:val="en-US" w:eastAsia="zh-CN"/>
        </w:rPr>
      </w:pPr>
      <w:r>
        <w:rPr>
          <w:rFonts w:hint="eastAsia"/>
          <w:b/>
          <w:bCs/>
          <w:color w:val="7030A0"/>
          <w:highlight w:val="none"/>
          <w:lang w:val="en-US" w:eastAsia="zh-CN"/>
        </w:rPr>
        <w:t>1.白鹤滩水电站11号机组投入商业运行</w:t>
      </w:r>
    </w:p>
    <w:p>
      <w:pPr>
        <w:pStyle w:val="4"/>
        <w:rPr>
          <w:rFonts w:hint="eastAsia"/>
          <w:lang w:eastAsia="zh-CN"/>
        </w:rPr>
      </w:pPr>
      <w:r>
        <w:rPr>
          <w:rFonts w:hint="eastAsia"/>
          <w:lang w:eastAsia="zh-CN"/>
        </w:rPr>
        <w:t>2022年11月2日，白鹤滩水电站11号机组顺利通过72小时试运行，正式投入商业运行。这是白鹤滩水电站投产发电的第14台百万千瓦水轮发电机组。</w:t>
      </w:r>
    </w:p>
    <w:p>
      <w:pPr>
        <w:bidi w:val="0"/>
        <w:rPr>
          <w:rFonts w:hint="default"/>
          <w:b/>
          <w:bCs/>
          <w:color w:val="7030A0"/>
          <w:highlight w:val="none"/>
          <w:lang w:val="en-US" w:eastAsia="zh-CN"/>
        </w:rPr>
      </w:pPr>
      <w:r>
        <w:rPr>
          <w:rFonts w:hint="eastAsia"/>
          <w:b/>
          <w:bCs/>
          <w:color w:val="7030A0"/>
          <w:highlight w:val="none"/>
          <w:lang w:val="en-US" w:eastAsia="zh-CN"/>
        </w:rPr>
        <w:t>2.南水北调东线一期工程启动第十个跨年度全线调水</w:t>
      </w:r>
    </w:p>
    <w:p>
      <w:pPr>
        <w:pStyle w:val="4"/>
        <w:rPr>
          <w:rFonts w:hint="eastAsia"/>
          <w:lang w:eastAsia="zh-CN"/>
        </w:rPr>
      </w:pPr>
      <w:r>
        <w:rPr>
          <w:rFonts w:hint="eastAsia"/>
          <w:lang w:eastAsia="zh-CN"/>
        </w:rPr>
        <w:t>2022年11月13日，南水北调东线一期工程启动第十个跨年度全线调水。此次调水到明年5月底，计划供水12.63亿立方米，调水规模为工程通水9年来最多的一次。</w:t>
      </w:r>
    </w:p>
    <w:p>
      <w:pPr>
        <w:bidi w:val="0"/>
        <w:rPr>
          <w:rFonts w:hint="default"/>
          <w:b/>
          <w:bCs/>
          <w:color w:val="7030A0"/>
          <w:highlight w:val="none"/>
          <w:lang w:val="en-US" w:eastAsia="zh-CN"/>
        </w:rPr>
      </w:pPr>
      <w:r>
        <w:rPr>
          <w:rFonts w:hint="eastAsia"/>
          <w:b/>
          <w:bCs/>
          <w:color w:val="7030A0"/>
          <w:highlight w:val="none"/>
          <w:lang w:val="en-US" w:eastAsia="zh-CN"/>
        </w:rPr>
        <w:t>3.塔里木盆地首个万亿方气区——克拉-克深气区</w:t>
      </w:r>
    </w:p>
    <w:p>
      <w:pPr>
        <w:rPr>
          <w:rFonts w:hint="eastAsia" w:eastAsiaTheme="minorEastAsia"/>
          <w:lang w:eastAsia="zh-CN"/>
        </w:rPr>
      </w:pPr>
      <w:r>
        <w:rPr>
          <w:rFonts w:hint="eastAsia" w:eastAsiaTheme="minorEastAsia"/>
          <w:lang w:eastAsia="zh-CN"/>
        </w:rPr>
        <w:t>2022年11月14日电，塔里木盆地首个万亿方气区——克拉-克深气</w:t>
      </w:r>
      <w:r>
        <w:rPr>
          <w:rFonts w:hint="eastAsia" w:eastAsiaTheme="minorEastAsia"/>
          <w:b/>
          <w:bCs/>
          <w:lang w:eastAsia="zh-CN"/>
        </w:rPr>
        <w:t>区累计生产天然气突破2000亿立方米大关</w:t>
      </w:r>
      <w:r>
        <w:rPr>
          <w:rFonts w:hint="eastAsia" w:eastAsiaTheme="minorEastAsia"/>
          <w:lang w:eastAsia="zh-CN"/>
        </w:rPr>
        <w:t>，为西气东输稳定供气提供了坚实的气源保障，有力促进了我国绿色低碳发展。</w:t>
      </w:r>
    </w:p>
    <w:p>
      <w:pPr>
        <w:bidi w:val="0"/>
        <w:rPr>
          <w:rFonts w:hint="eastAsia"/>
          <w:b/>
          <w:bCs/>
          <w:color w:val="7030A0"/>
          <w:lang w:val="en-US" w:eastAsia="zh-CN"/>
        </w:rPr>
      </w:pPr>
      <w:r>
        <w:rPr>
          <w:rFonts w:hint="eastAsia"/>
          <w:b/>
          <w:bCs/>
          <w:color w:val="7030A0"/>
          <w:lang w:val="en-US" w:eastAsia="zh-CN"/>
        </w:rPr>
        <w:t>4.广西防城港码头2022年货物吞吐量破亿吨</w:t>
      </w:r>
    </w:p>
    <w:p>
      <w:pPr>
        <w:bidi w:val="0"/>
        <w:rPr>
          <w:rFonts w:hint="eastAsia"/>
          <w:lang w:val="en-US" w:eastAsia="zh-CN"/>
        </w:rPr>
      </w:pPr>
      <w:r>
        <w:rPr>
          <w:rFonts w:hint="eastAsia"/>
          <w:lang w:val="en-US" w:eastAsia="zh-CN"/>
        </w:rPr>
        <w:t>2022年11月7日电，近日，</w:t>
      </w:r>
      <w:r>
        <w:rPr>
          <w:rFonts w:hint="eastAsia"/>
          <w:b/>
          <w:bCs/>
          <w:lang w:val="en-US" w:eastAsia="zh-CN"/>
        </w:rPr>
        <w:t>广西防城港码头2022年货物吞吐量突破1亿吨</w:t>
      </w:r>
      <w:r>
        <w:rPr>
          <w:rFonts w:hint="eastAsia"/>
          <w:lang w:val="en-US" w:eastAsia="zh-CN"/>
        </w:rPr>
        <w:t>，成为连续3年北部湾港单个吞吐量破亿吨的港区。</w:t>
      </w:r>
    </w:p>
    <w:p>
      <w:pPr>
        <w:rPr>
          <w:rFonts w:hint="default"/>
          <w:b/>
          <w:bCs/>
          <w:color w:val="7030A0"/>
          <w:lang w:val="en-US" w:eastAsia="zh-CN"/>
        </w:rPr>
      </w:pPr>
      <w:r>
        <w:rPr>
          <w:rFonts w:hint="eastAsia"/>
          <w:b/>
          <w:bCs/>
          <w:color w:val="7030A0"/>
          <w:lang w:val="en-US" w:eastAsia="zh-CN"/>
        </w:rPr>
        <w:t>5.“子午工程”二期圆环阵太阳射电成像望远镜设备完成系统集成</w:t>
      </w:r>
    </w:p>
    <w:p>
      <w:pPr>
        <w:pStyle w:val="4"/>
        <w:rPr>
          <w:rFonts w:hint="eastAsia"/>
          <w:lang w:eastAsia="zh-CN"/>
        </w:rPr>
      </w:pPr>
      <w:r>
        <w:rPr>
          <w:rFonts w:hint="eastAsia"/>
          <w:lang w:eastAsia="zh-CN"/>
        </w:rPr>
        <w:t>2022年11月14日电，国家重大科技基础设施</w:t>
      </w:r>
      <w:r>
        <w:rPr>
          <w:rFonts w:hint="eastAsia"/>
          <w:b/>
          <w:bCs/>
          <w:lang w:eastAsia="zh-CN"/>
        </w:rPr>
        <w:t>“子午工程”二期圆环阵太阳射电成像望远镜设备完成系统集成</w:t>
      </w:r>
      <w:r>
        <w:rPr>
          <w:rFonts w:hint="eastAsia"/>
          <w:lang w:eastAsia="zh-CN"/>
        </w:rPr>
        <w:t>，正式进入联调联试阶段。</w:t>
      </w:r>
    </w:p>
    <w:p>
      <w:pPr>
        <w:pStyle w:val="2"/>
        <w:rPr>
          <w:rFonts w:hint="default"/>
          <w:lang w:val="en-US" w:eastAsia="zh-CN"/>
        </w:rPr>
      </w:pPr>
    </w:p>
    <w:p>
      <w:pPr>
        <w:pStyle w:val="8"/>
        <w:shd w:val="clear" w:fill="F1F1F1" w:themeFill="background1" w:themeFillShade="F2"/>
        <w:bidi w:val="0"/>
        <w:rPr>
          <w:rFonts w:hint="eastAsia"/>
          <w:lang w:eastAsia="zh-CN"/>
        </w:rPr>
      </w:pPr>
      <w:r>
        <w:rPr>
          <w:rFonts w:hint="eastAsia"/>
          <w:lang w:eastAsia="zh-CN"/>
        </w:rPr>
        <w:t>生态类</w:t>
      </w:r>
    </w:p>
    <w:p>
      <w:pPr>
        <w:bidi w:val="0"/>
        <w:rPr>
          <w:rFonts w:hint="eastAsia"/>
          <w:b/>
          <w:bCs/>
          <w:color w:val="7030A0"/>
          <w:highlight w:val="none"/>
          <w:lang w:eastAsia="zh-CN"/>
        </w:rPr>
      </w:pPr>
      <w:r>
        <w:rPr>
          <w:rFonts w:hint="eastAsia"/>
          <w:b/>
          <w:bCs/>
          <w:color w:val="7030A0"/>
          <w:highlight w:val="none"/>
          <w:lang w:val="en-US" w:eastAsia="zh-CN"/>
        </w:rPr>
        <w:t>1.</w:t>
      </w:r>
      <w:r>
        <w:rPr>
          <w:rFonts w:hint="eastAsia"/>
          <w:b/>
          <w:bCs/>
          <w:color w:val="7030A0"/>
          <w:highlight w:val="none"/>
          <w:lang w:eastAsia="zh-CN"/>
        </w:rPr>
        <w:t>《“十四五”乡村绿化美化行动方案》</w:t>
      </w:r>
    </w:p>
    <w:p>
      <w:pPr>
        <w:pStyle w:val="4"/>
        <w:rPr>
          <w:rFonts w:hint="eastAsia"/>
          <w:lang w:eastAsia="zh-CN"/>
        </w:rPr>
      </w:pPr>
      <w:r>
        <w:rPr>
          <w:rFonts w:hint="eastAsia"/>
          <w:lang w:eastAsia="zh-CN"/>
        </w:rPr>
        <w:t>2022年11月2日电，为科学开展乡村绿化美化，促进农村人居环境整治提升，国家林草局等研究制定并印发《“十四五”乡村绿化美化行动方案》。方案以“保护、增绿、提质、增效”为主线，持续推进乡村绿化美化，改善提升农村人居环境，建设生态宜居美丽乡村，为建设人与自然和谐共生的现代化作出贡献。</w:t>
      </w:r>
    </w:p>
    <w:p>
      <w:pPr>
        <w:bidi w:val="0"/>
        <w:rPr>
          <w:rFonts w:hint="eastAsia"/>
          <w:b/>
          <w:bCs/>
          <w:color w:val="7030A0"/>
          <w:highlight w:val="none"/>
          <w:lang w:val="en-US" w:eastAsia="zh-CN"/>
        </w:rPr>
      </w:pPr>
      <w:r>
        <w:rPr>
          <w:rFonts w:hint="eastAsia"/>
          <w:b/>
          <w:bCs/>
          <w:color w:val="7030A0"/>
          <w:highlight w:val="none"/>
          <w:lang w:val="en-US" w:eastAsia="zh-CN"/>
        </w:rPr>
        <w:t>2.“国家森林城市”</w:t>
      </w:r>
    </w:p>
    <w:p>
      <w:pPr>
        <w:pStyle w:val="4"/>
        <w:rPr>
          <w:rFonts w:hint="eastAsia"/>
          <w:lang w:eastAsia="zh-CN"/>
        </w:rPr>
      </w:pPr>
      <w:r>
        <w:rPr>
          <w:rFonts w:hint="eastAsia"/>
          <w:lang w:eastAsia="zh-CN"/>
        </w:rPr>
        <w:t>2022年11月5日电，新一批国家森林城市名单公布，</w:t>
      </w:r>
      <w:r>
        <w:rPr>
          <w:rFonts w:hint="eastAsia"/>
          <w:b/>
          <w:bCs/>
          <w:lang w:eastAsia="zh-CN"/>
        </w:rPr>
        <w:t>北京市石景山区等26个城市</w:t>
      </w:r>
      <w:r>
        <w:rPr>
          <w:rFonts w:hint="eastAsia"/>
          <w:lang w:eastAsia="zh-CN"/>
        </w:rPr>
        <w:t>被授予</w:t>
      </w:r>
      <w:r>
        <w:rPr>
          <w:rFonts w:hint="eastAsia"/>
          <w:b/>
          <w:bCs/>
          <w:lang w:eastAsia="zh-CN"/>
        </w:rPr>
        <w:t>“国家森林城市”</w:t>
      </w:r>
      <w:r>
        <w:rPr>
          <w:rFonts w:hint="eastAsia"/>
          <w:lang w:eastAsia="zh-CN"/>
        </w:rPr>
        <w:t>称号。</w:t>
      </w:r>
      <w:r>
        <w:rPr>
          <w:rFonts w:hint="eastAsia"/>
          <w:b/>
          <w:bCs/>
          <w:lang w:eastAsia="zh-CN"/>
        </w:rPr>
        <w:t>我国国家森林城市增至219个。</w:t>
      </w:r>
    </w:p>
    <w:p>
      <w:pPr>
        <w:bidi w:val="0"/>
        <w:rPr>
          <w:rFonts w:hint="eastAsia"/>
          <w:b/>
          <w:bCs/>
          <w:color w:val="7030A0"/>
          <w:highlight w:val="none"/>
          <w:lang w:eastAsia="zh-CN"/>
        </w:rPr>
      </w:pPr>
      <w:r>
        <w:rPr>
          <w:rFonts w:hint="eastAsia"/>
          <w:b/>
          <w:bCs/>
          <w:color w:val="7030A0"/>
          <w:highlight w:val="none"/>
          <w:lang w:val="en-US" w:eastAsia="zh-CN"/>
        </w:rPr>
        <w:t>3.</w:t>
      </w:r>
      <w:r>
        <w:rPr>
          <w:rFonts w:hint="eastAsia"/>
          <w:b/>
          <w:bCs/>
          <w:color w:val="7030A0"/>
          <w:highlight w:val="none"/>
          <w:lang w:eastAsia="zh-CN"/>
        </w:rPr>
        <w:t>《湿地公约》第十四届缔约方大会</w:t>
      </w:r>
    </w:p>
    <w:p>
      <w:pPr>
        <w:bidi w:val="0"/>
        <w:rPr>
          <w:rFonts w:hint="eastAsia"/>
          <w:lang w:eastAsia="zh-CN"/>
        </w:rPr>
      </w:pPr>
      <w:r>
        <w:rPr>
          <w:rFonts w:hint="eastAsia"/>
          <w:lang w:eastAsia="zh-CN"/>
        </w:rPr>
        <w:t>2022年11月5日至13日，《湿地公约》第十四届缔约方大会大会在中国湖北</w:t>
      </w:r>
      <w:r>
        <w:rPr>
          <w:rFonts w:hint="eastAsia"/>
          <w:b/>
          <w:bCs/>
          <w:lang w:eastAsia="zh-CN"/>
        </w:rPr>
        <w:t>武汉</w:t>
      </w:r>
      <w:r>
        <w:rPr>
          <w:rFonts w:hint="eastAsia"/>
          <w:lang w:eastAsia="zh-CN"/>
        </w:rPr>
        <w:t>和瑞士</w:t>
      </w:r>
      <w:r>
        <w:rPr>
          <w:rFonts w:hint="eastAsia"/>
          <w:b/>
          <w:bCs/>
          <w:lang w:eastAsia="zh-CN"/>
        </w:rPr>
        <w:t>日内瓦</w:t>
      </w:r>
      <w:r>
        <w:rPr>
          <w:rFonts w:hint="eastAsia"/>
          <w:lang w:eastAsia="zh-CN"/>
        </w:rPr>
        <w:t>同步举行，</w:t>
      </w:r>
      <w:r>
        <w:rPr>
          <w:rFonts w:hint="eastAsia"/>
          <w:b/>
          <w:bCs/>
          <w:lang w:eastAsia="zh-CN"/>
        </w:rPr>
        <w:t>主题为“珍爱湿地，人与自然和谐共生”</w:t>
      </w:r>
      <w:r>
        <w:rPr>
          <w:rFonts w:hint="eastAsia"/>
          <w:lang w:eastAsia="zh-CN"/>
        </w:rPr>
        <w:t>。</w:t>
      </w:r>
    </w:p>
    <w:p>
      <w:pPr>
        <w:bidi w:val="0"/>
        <w:rPr>
          <w:rFonts w:hint="eastAsia"/>
          <w:lang w:eastAsia="zh-CN"/>
        </w:rPr>
      </w:pPr>
      <w:r>
        <w:rPr>
          <w:rFonts w:hint="eastAsia"/>
          <w:lang w:eastAsia="zh-CN"/>
        </w:rPr>
        <w:t>2022年11月5日，习近平以视频方式出席在武汉举行的《湿地公约》第十四届缔约方大会开幕式并发表题为</w:t>
      </w:r>
      <w:r>
        <w:rPr>
          <w:rFonts w:hint="eastAsia"/>
          <w:b/>
          <w:bCs/>
          <w:lang w:eastAsia="zh-CN"/>
        </w:rPr>
        <w:t>《珍爱湿地守护未来推进湿地保护全球行动》</w:t>
      </w:r>
      <w:r>
        <w:rPr>
          <w:rFonts w:hint="eastAsia"/>
          <w:lang w:eastAsia="zh-CN"/>
        </w:rPr>
        <w:t>的致辞。习近平指出，中国将陆续设立一批国家公园，把约</w:t>
      </w:r>
      <w:r>
        <w:rPr>
          <w:rFonts w:hint="eastAsia"/>
          <w:b/>
          <w:bCs/>
          <w:lang w:eastAsia="zh-CN"/>
        </w:rPr>
        <w:t>1100万公顷湿地纳入国家公园体系</w:t>
      </w:r>
      <w:r>
        <w:rPr>
          <w:rFonts w:hint="eastAsia"/>
          <w:lang w:eastAsia="zh-CN"/>
        </w:rPr>
        <w:t>，</w:t>
      </w:r>
      <w:r>
        <w:rPr>
          <w:rFonts w:hint="eastAsia"/>
          <w:b/>
          <w:bCs/>
          <w:lang w:eastAsia="zh-CN"/>
        </w:rPr>
        <w:t>重点建设三江源、青海湖、若尔盖、黄河口、辽河口、松嫩鹤乡等湿地类型国家公园，实施全国湿地保护规划和湿地保护重大工程</w:t>
      </w:r>
      <w:r>
        <w:rPr>
          <w:rFonts w:hint="eastAsia"/>
          <w:lang w:eastAsia="zh-CN"/>
        </w:rPr>
        <w:t>。</w:t>
      </w:r>
    </w:p>
    <w:p>
      <w:pPr>
        <w:bidi w:val="0"/>
        <w:rPr>
          <w:rFonts w:hint="eastAsia"/>
          <w:lang w:eastAsia="zh-CN"/>
        </w:rPr>
      </w:pPr>
      <w:r>
        <w:rPr>
          <w:rFonts w:hint="eastAsia"/>
          <w:lang w:eastAsia="zh-CN"/>
        </w:rPr>
        <w:t>2022年11月6日，《湿地公约》第十四届缔约方大会</w:t>
      </w:r>
      <w:r>
        <w:rPr>
          <w:rFonts w:hint="eastAsia"/>
          <w:b/>
          <w:bCs/>
          <w:lang w:eastAsia="zh-CN"/>
        </w:rPr>
        <w:t>部级高级别会议</w:t>
      </w:r>
      <w:r>
        <w:rPr>
          <w:rFonts w:hint="eastAsia"/>
          <w:lang w:eastAsia="zh-CN"/>
        </w:rPr>
        <w:t>通过</w:t>
      </w:r>
      <w:r>
        <w:rPr>
          <w:rFonts w:hint="eastAsia"/>
          <w:b/>
          <w:bCs/>
          <w:lang w:eastAsia="zh-CN"/>
        </w:rPr>
        <w:t>《武汉宣言》</w:t>
      </w:r>
      <w:r>
        <w:rPr>
          <w:rFonts w:hint="eastAsia"/>
          <w:lang w:eastAsia="zh-CN"/>
        </w:rPr>
        <w:t>。</w:t>
      </w:r>
    </w:p>
    <w:p>
      <w:pPr>
        <w:pStyle w:val="4"/>
        <w:rPr>
          <w:rFonts w:hint="eastAsia"/>
          <w:lang w:eastAsia="zh-CN"/>
        </w:rPr>
      </w:pPr>
      <w:r>
        <w:rPr>
          <w:rFonts w:hint="eastAsia"/>
          <w:lang w:eastAsia="zh-CN"/>
        </w:rPr>
        <w:t>2022年11月13日，《湿地公约》第十四届缔约方大会闭幕。会议为当前及未来的全球湿地保护修复指引方向，提出推进湿地保护全球行动的中国主张。</w:t>
      </w:r>
    </w:p>
    <w:p>
      <w:pPr>
        <w:rPr>
          <w:rFonts w:hint="eastAsia"/>
          <w:lang w:eastAsia="zh-CN"/>
        </w:rPr>
      </w:pPr>
    </w:p>
    <w:p>
      <w:pPr>
        <w:pStyle w:val="8"/>
        <w:shd w:val="clear" w:fill="F1F1F1" w:themeFill="background1" w:themeFillShade="F2"/>
        <w:bidi w:val="0"/>
        <w:rPr>
          <w:rFonts w:hint="eastAsia"/>
          <w:lang w:eastAsia="zh-CN"/>
        </w:rPr>
      </w:pPr>
      <w:r>
        <w:rPr>
          <w:rFonts w:hint="eastAsia"/>
          <w:lang w:eastAsia="zh-CN"/>
        </w:rPr>
        <w:t>科技类</w:t>
      </w:r>
    </w:p>
    <w:p>
      <w:pPr>
        <w:rPr>
          <w:rFonts w:hint="default"/>
          <w:b/>
          <w:bCs/>
          <w:color w:val="7030A0"/>
          <w:lang w:val="en-US" w:eastAsia="zh-CN"/>
        </w:rPr>
      </w:pPr>
      <w:r>
        <w:rPr>
          <w:rFonts w:hint="eastAsia"/>
          <w:b/>
          <w:bCs/>
          <w:color w:val="7030A0"/>
          <w:lang w:val="en-US" w:eastAsia="zh-CN"/>
        </w:rPr>
        <w:t>1.试验二十号C星成功发射</w:t>
      </w:r>
    </w:p>
    <w:p>
      <w:pPr>
        <w:rPr>
          <w:rFonts w:hint="eastAsia"/>
          <w:lang w:eastAsia="zh-CN"/>
        </w:rPr>
      </w:pPr>
      <w:r>
        <w:rPr>
          <w:rFonts w:hint="eastAsia"/>
          <w:lang w:eastAsia="zh-CN"/>
        </w:rPr>
        <w:t>2022年10月29日9时01分，我国在</w:t>
      </w:r>
      <w:r>
        <w:rPr>
          <w:rFonts w:hint="eastAsia"/>
          <w:b/>
          <w:bCs/>
          <w:lang w:eastAsia="zh-CN"/>
        </w:rPr>
        <w:t>酒泉</w:t>
      </w:r>
      <w:r>
        <w:rPr>
          <w:rFonts w:hint="eastAsia"/>
          <w:lang w:eastAsia="zh-CN"/>
        </w:rPr>
        <w:t>卫星发射中心使用</w:t>
      </w:r>
      <w:r>
        <w:rPr>
          <w:rFonts w:hint="eastAsia"/>
          <w:b/>
          <w:bCs/>
          <w:lang w:eastAsia="zh-CN"/>
        </w:rPr>
        <w:t>长征二号丁运载火箭</w:t>
      </w:r>
      <w:r>
        <w:rPr>
          <w:rFonts w:hint="eastAsia"/>
          <w:lang w:eastAsia="zh-CN"/>
        </w:rPr>
        <w:t>，成功将</w:t>
      </w:r>
      <w:r>
        <w:rPr>
          <w:rFonts w:hint="eastAsia"/>
          <w:b/>
          <w:bCs/>
          <w:lang w:eastAsia="zh-CN"/>
        </w:rPr>
        <w:t>试验二十号C星</w:t>
      </w:r>
      <w:r>
        <w:rPr>
          <w:rFonts w:hint="eastAsia"/>
          <w:lang w:eastAsia="zh-CN"/>
        </w:rPr>
        <w:t>发射升空，卫星顺利进入预定轨道，发射任务获得圆满成功。这次任务是长征系列运载火箭的第445次飞行。</w:t>
      </w:r>
    </w:p>
    <w:p>
      <w:pPr>
        <w:rPr>
          <w:rFonts w:hint="default"/>
          <w:b/>
          <w:bCs/>
          <w:color w:val="7030A0"/>
          <w:lang w:val="en-US" w:eastAsia="zh-CN"/>
        </w:rPr>
      </w:pPr>
      <w:r>
        <w:rPr>
          <w:rFonts w:hint="eastAsia"/>
          <w:b/>
          <w:bCs/>
          <w:color w:val="7030A0"/>
          <w:lang w:val="en-US" w:eastAsia="zh-CN"/>
        </w:rPr>
        <w:t>2.江苏泰兴2艘24346TEU超大型集装箱船顺利出坞</w:t>
      </w:r>
    </w:p>
    <w:p>
      <w:pPr>
        <w:rPr>
          <w:rFonts w:hint="eastAsia"/>
          <w:b/>
          <w:bCs/>
          <w:lang w:eastAsia="zh-CN"/>
        </w:rPr>
      </w:pPr>
      <w:r>
        <w:rPr>
          <w:rFonts w:hint="eastAsia"/>
          <w:lang w:eastAsia="zh-CN"/>
        </w:rPr>
        <w:t>2022年10月31日电，2艘24346TEU超大型集装箱船在江苏泰兴顺利出坞，这是目</w:t>
      </w:r>
      <w:r>
        <w:rPr>
          <w:rFonts w:hint="eastAsia"/>
          <w:b/>
          <w:bCs/>
          <w:lang w:eastAsia="zh-CN"/>
        </w:rPr>
        <w:t>前全球最大装箱量集装箱船。</w:t>
      </w:r>
    </w:p>
    <w:p>
      <w:pPr>
        <w:pStyle w:val="2"/>
        <w:rPr>
          <w:rFonts w:hint="default" w:ascii="宋体" w:hAnsi="宋体" w:eastAsia="宋体" w:cs="Times New Roman"/>
          <w:b/>
          <w:bCs/>
          <w:color w:val="7030A0"/>
          <w:kern w:val="2"/>
          <w:sz w:val="21"/>
          <w:szCs w:val="24"/>
          <w:lang w:val="en-US" w:eastAsia="zh-CN" w:bidi="ar-SA"/>
        </w:rPr>
      </w:pPr>
      <w:r>
        <w:rPr>
          <w:rFonts w:hint="eastAsia" w:ascii="宋体" w:hAnsi="宋体" w:eastAsia="宋体" w:cs="Times New Roman"/>
          <w:b/>
          <w:bCs/>
          <w:color w:val="7030A0"/>
          <w:kern w:val="2"/>
          <w:sz w:val="21"/>
          <w:szCs w:val="24"/>
          <w:lang w:val="en-US" w:eastAsia="zh-CN" w:bidi="ar-SA"/>
        </w:rPr>
        <w:t>3.“深海勇士”号载人潜水器完成一系列海试任务</w:t>
      </w:r>
    </w:p>
    <w:p>
      <w:pPr>
        <w:rPr>
          <w:rFonts w:hint="eastAsia"/>
          <w:lang w:eastAsia="zh-CN"/>
        </w:rPr>
      </w:pPr>
      <w:r>
        <w:rPr>
          <w:rFonts w:hint="eastAsia"/>
          <w:lang w:eastAsia="zh-CN"/>
        </w:rPr>
        <w:t>2022年10月31日电，中国科学院消息，“探索二号”科考船携</w:t>
      </w:r>
      <w:r>
        <w:rPr>
          <w:rFonts w:hint="eastAsia"/>
          <w:b/>
          <w:bCs/>
          <w:lang w:eastAsia="zh-CN"/>
        </w:rPr>
        <w:t>“深海勇士”号载人潜水器</w:t>
      </w:r>
      <w:r>
        <w:rPr>
          <w:rFonts w:hint="eastAsia"/>
          <w:lang w:eastAsia="zh-CN"/>
        </w:rPr>
        <w:t>完成一系列海试任务，已于日前</w:t>
      </w:r>
      <w:r>
        <w:rPr>
          <w:rFonts w:hint="eastAsia"/>
          <w:b/>
          <w:bCs/>
          <w:lang w:eastAsia="zh-CN"/>
        </w:rPr>
        <w:t>返回海南三亚</w:t>
      </w:r>
      <w:r>
        <w:rPr>
          <w:rFonts w:hint="eastAsia"/>
          <w:lang w:eastAsia="zh-CN"/>
        </w:rPr>
        <w:t>。海试期间，科研人员</w:t>
      </w:r>
      <w:r>
        <w:rPr>
          <w:rFonts w:hint="eastAsia"/>
          <w:b/>
          <w:bCs/>
          <w:lang w:eastAsia="zh-CN"/>
        </w:rPr>
        <w:t>成功在海底布设大深度原位科学实验站</w:t>
      </w:r>
      <w:r>
        <w:rPr>
          <w:rFonts w:hint="eastAsia"/>
          <w:lang w:eastAsia="zh-CN"/>
        </w:rPr>
        <w:t>，</w:t>
      </w:r>
      <w:r>
        <w:rPr>
          <w:rFonts w:hint="eastAsia"/>
          <w:b/>
          <w:bCs/>
          <w:lang w:eastAsia="zh-CN"/>
        </w:rPr>
        <w:t>将实现深海长周期无人科考</w:t>
      </w:r>
      <w:r>
        <w:rPr>
          <w:rFonts w:hint="eastAsia"/>
          <w:lang w:eastAsia="zh-CN"/>
        </w:rPr>
        <w:t>。</w:t>
      </w:r>
    </w:p>
    <w:p>
      <w:pPr>
        <w:rPr>
          <w:rFonts w:hint="default" w:eastAsia="宋体"/>
          <w:b/>
          <w:bCs/>
          <w:color w:val="7030A0"/>
          <w:lang w:val="en-US" w:eastAsia="zh-CN"/>
        </w:rPr>
      </w:pPr>
      <w:r>
        <w:rPr>
          <w:rFonts w:hint="eastAsia"/>
          <w:b/>
          <w:bCs/>
          <w:color w:val="7030A0"/>
          <w:lang w:val="en-US" w:eastAsia="zh-CN"/>
        </w:rPr>
        <w:t>4.梦天实验舱</w:t>
      </w:r>
    </w:p>
    <w:p>
      <w:pPr>
        <w:rPr>
          <w:rFonts w:hint="eastAsia"/>
          <w:lang w:eastAsia="zh-CN"/>
        </w:rPr>
      </w:pPr>
      <w:r>
        <w:rPr>
          <w:rFonts w:hint="eastAsia" w:eastAsia="宋体"/>
          <w:lang w:eastAsia="zh-CN"/>
        </w:rPr>
        <w:t>2022年10月31日15时37分，搭载</w:t>
      </w:r>
      <w:r>
        <w:rPr>
          <w:rFonts w:hint="eastAsia" w:eastAsia="宋体"/>
          <w:b/>
          <w:bCs/>
          <w:lang w:eastAsia="zh-CN"/>
        </w:rPr>
        <w:t>梦天实验舱</w:t>
      </w:r>
      <w:r>
        <w:rPr>
          <w:rFonts w:hint="eastAsia" w:eastAsia="宋体"/>
          <w:lang w:eastAsia="zh-CN"/>
        </w:rPr>
        <w:t>的</w:t>
      </w:r>
      <w:r>
        <w:rPr>
          <w:rFonts w:hint="eastAsia" w:eastAsia="宋体"/>
          <w:b/>
          <w:bCs/>
          <w:lang w:eastAsia="zh-CN"/>
        </w:rPr>
        <w:t>长征五号B遥四运载火箭</w:t>
      </w:r>
      <w:r>
        <w:rPr>
          <w:rFonts w:hint="eastAsia" w:eastAsia="宋体"/>
          <w:lang w:eastAsia="zh-CN"/>
        </w:rPr>
        <w:t>，在中国</w:t>
      </w:r>
      <w:r>
        <w:rPr>
          <w:rFonts w:hint="eastAsia" w:eastAsia="宋体"/>
          <w:b/>
          <w:bCs/>
          <w:lang w:eastAsia="zh-CN"/>
        </w:rPr>
        <w:t>文昌</w:t>
      </w:r>
      <w:r>
        <w:rPr>
          <w:rFonts w:hint="eastAsia" w:eastAsia="宋体"/>
          <w:lang w:eastAsia="zh-CN"/>
        </w:rPr>
        <w:t>航天发射场点火升空，发射任务取得圆满成功。</w:t>
      </w:r>
      <w:r>
        <w:rPr>
          <w:rFonts w:hint="eastAsia" w:eastAsia="宋体"/>
          <w:b/>
          <w:bCs/>
          <w:lang w:eastAsia="zh-CN"/>
        </w:rPr>
        <w:t>这是空间站建造的关键之战</w:t>
      </w:r>
      <w:r>
        <w:rPr>
          <w:rFonts w:hint="eastAsia" w:eastAsia="宋体"/>
          <w:lang w:eastAsia="zh-CN"/>
        </w:rPr>
        <w:t>，</w:t>
      </w:r>
      <w:r>
        <w:rPr>
          <w:rFonts w:hint="eastAsia" w:eastAsia="宋体"/>
          <w:b/>
          <w:bCs/>
          <w:lang w:eastAsia="zh-CN"/>
        </w:rPr>
        <w:t>中国空间站“T”字基本构型</w:t>
      </w:r>
      <w:r>
        <w:rPr>
          <w:rFonts w:hint="eastAsia" w:eastAsia="宋体"/>
          <w:lang w:eastAsia="zh-CN"/>
        </w:rPr>
        <w:t>即将在轨组装完成。</w:t>
      </w:r>
    </w:p>
    <w:p>
      <w:pPr>
        <w:rPr>
          <w:rFonts w:hint="eastAsia"/>
          <w:lang w:eastAsia="zh-CN"/>
        </w:rPr>
      </w:pPr>
      <w:r>
        <w:rPr>
          <w:rFonts w:hint="eastAsia" w:eastAsia="宋体"/>
          <w:lang w:eastAsia="zh-CN"/>
        </w:rPr>
        <w:t>2022年11月1日4时27分，据中国载人航天工程办公室消息，</w:t>
      </w:r>
      <w:r>
        <w:rPr>
          <w:rFonts w:hint="eastAsia" w:eastAsia="宋体"/>
          <w:b/>
          <w:bCs/>
          <w:lang w:eastAsia="zh-CN"/>
        </w:rPr>
        <w:t>空间站梦天实验舱成功对接于天和核心舱</w:t>
      </w:r>
      <w:r>
        <w:rPr>
          <w:rFonts w:hint="eastAsia" w:eastAsia="宋体"/>
          <w:lang w:eastAsia="zh-CN"/>
        </w:rPr>
        <w:t>前向端口，整个交会对接过程历时约13小时。</w:t>
      </w:r>
    </w:p>
    <w:p>
      <w:pPr>
        <w:pStyle w:val="4"/>
        <w:rPr>
          <w:rFonts w:hint="eastAsia"/>
          <w:lang w:eastAsia="zh-CN"/>
        </w:rPr>
      </w:pPr>
      <w:r>
        <w:rPr>
          <w:rFonts w:hint="eastAsia"/>
          <w:lang w:eastAsia="zh-CN"/>
        </w:rPr>
        <w:t>2022年11月3日9时32分，</w:t>
      </w:r>
      <w:r>
        <w:rPr>
          <w:rFonts w:hint="eastAsia"/>
          <w:b/>
          <w:bCs/>
          <w:lang w:eastAsia="zh-CN"/>
        </w:rPr>
        <w:t>空间站梦天实验舱顺利完成转位</w:t>
      </w:r>
      <w:r>
        <w:rPr>
          <w:rFonts w:hint="eastAsia"/>
          <w:lang w:eastAsia="zh-CN"/>
        </w:rPr>
        <w:t>。</w:t>
      </w:r>
      <w:r>
        <w:rPr>
          <w:rFonts w:hint="eastAsia"/>
          <w:b/>
          <w:bCs/>
          <w:lang w:eastAsia="zh-CN"/>
        </w:rPr>
        <w:t>梦天实验舱转位完成标志着中国空间站“T”字基本构型在轨组装完成，向着建成空间站的目标迈出了关键一步</w:t>
      </w:r>
      <w:r>
        <w:rPr>
          <w:rFonts w:hint="eastAsia"/>
          <w:lang w:eastAsia="zh-CN"/>
        </w:rPr>
        <w:t>。按计划，后续将开展空间站组合体基本功能测试和评估。</w:t>
      </w:r>
    </w:p>
    <w:p>
      <w:pPr>
        <w:pStyle w:val="4"/>
        <w:rPr>
          <w:rFonts w:hint="default"/>
          <w:b/>
          <w:bCs/>
          <w:color w:val="7030A0"/>
          <w:lang w:val="en-US" w:eastAsia="zh-CN"/>
        </w:rPr>
      </w:pPr>
      <w:r>
        <w:rPr>
          <w:rFonts w:hint="eastAsia"/>
          <w:b/>
          <w:bCs/>
          <w:color w:val="7030A0"/>
          <w:lang w:val="en-US" w:eastAsia="zh-CN"/>
        </w:rPr>
        <w:t>5.2022年5G网络建设</w:t>
      </w:r>
    </w:p>
    <w:p>
      <w:pPr>
        <w:pStyle w:val="4"/>
        <w:rPr>
          <w:rFonts w:hint="eastAsia"/>
          <w:lang w:eastAsia="zh-CN"/>
        </w:rPr>
      </w:pPr>
      <w:r>
        <w:rPr>
          <w:rFonts w:hint="eastAsia"/>
          <w:lang w:eastAsia="zh-CN"/>
        </w:rPr>
        <w:t>2022年11月3日，工信部消息，</w:t>
      </w:r>
      <w:r>
        <w:rPr>
          <w:rFonts w:hint="eastAsia"/>
          <w:b/>
          <w:bCs/>
          <w:lang w:eastAsia="zh-CN"/>
        </w:rPr>
        <w:t>今年我国5G网络建设已提前超额完成任务</w:t>
      </w:r>
      <w:r>
        <w:rPr>
          <w:rFonts w:hint="eastAsia"/>
          <w:lang w:eastAsia="zh-CN"/>
        </w:rPr>
        <w:t>。截至9月末，全国5G基站总数达222万个，比计划多完成22万个。</w:t>
      </w:r>
    </w:p>
    <w:p>
      <w:pPr>
        <w:pStyle w:val="4"/>
        <w:rPr>
          <w:rFonts w:hint="default"/>
          <w:b/>
          <w:bCs/>
          <w:color w:val="7030A0"/>
          <w:lang w:val="en-US" w:eastAsia="zh-CN"/>
        </w:rPr>
      </w:pPr>
      <w:r>
        <w:rPr>
          <w:rFonts w:hint="eastAsia"/>
          <w:b/>
          <w:bCs/>
          <w:color w:val="7030A0"/>
          <w:lang w:val="en-US" w:eastAsia="zh-CN"/>
        </w:rPr>
        <w:t>6.</w:t>
      </w:r>
      <w:r>
        <w:rPr>
          <w:rFonts w:hint="eastAsia"/>
          <w:b/>
          <w:bCs/>
          <w:color w:val="7030A0"/>
          <w:lang w:eastAsia="zh-CN"/>
        </w:rPr>
        <w:t>第23届太平洋地区核能大会</w:t>
      </w:r>
    </w:p>
    <w:p>
      <w:pPr>
        <w:pStyle w:val="4"/>
        <w:rPr>
          <w:rFonts w:hint="eastAsia"/>
          <w:lang w:eastAsia="zh-CN"/>
        </w:rPr>
      </w:pPr>
      <w:r>
        <w:rPr>
          <w:rFonts w:hint="eastAsia"/>
          <w:lang w:eastAsia="zh-CN"/>
        </w:rPr>
        <w:t>2022年11月3日电，主题为“核能创新·零碳未来”的第23届太平洋地区核能大会在1日北京-成都两地同时开幕，国务院总理李克强在贺信中表示，核能是安全、稳定、高效的清洁能源。核能的和平开发利用不仅为人类发展增添了新的动力，也为保障能源安全、应对气候变化、促进能源绿色低碳转型、带动高端装备制造业发展发挥了重要作用。</w:t>
      </w:r>
    </w:p>
    <w:p>
      <w:pPr>
        <w:pStyle w:val="4"/>
        <w:rPr>
          <w:rFonts w:hint="default"/>
          <w:b/>
          <w:bCs/>
          <w:color w:val="7030A0"/>
          <w:lang w:val="en-US" w:eastAsia="zh-CN"/>
        </w:rPr>
      </w:pPr>
      <w:r>
        <w:rPr>
          <w:rFonts w:hint="eastAsia"/>
          <w:b/>
          <w:bCs/>
          <w:color w:val="7030A0"/>
          <w:lang w:val="en-US" w:eastAsia="zh-CN"/>
        </w:rPr>
        <w:t>7.</w:t>
      </w:r>
      <w:r>
        <w:rPr>
          <w:rFonts w:hint="eastAsia"/>
          <w:b/>
          <w:bCs/>
          <w:color w:val="7030A0"/>
          <w:lang w:eastAsia="zh-CN"/>
        </w:rPr>
        <w:t>《“十四五”技术要素市场专项规划》</w:t>
      </w:r>
    </w:p>
    <w:p>
      <w:pPr>
        <w:pStyle w:val="4"/>
        <w:rPr>
          <w:rFonts w:hint="eastAsia"/>
          <w:lang w:eastAsia="zh-CN"/>
        </w:rPr>
      </w:pPr>
      <w:r>
        <w:rPr>
          <w:rFonts w:hint="eastAsia"/>
          <w:lang w:eastAsia="zh-CN"/>
        </w:rPr>
        <w:t>2022年11月3日电，科技部近期印发了《“十四五”技术要素市场专项规划》，明确“十四五”期间现代化技术要素市场体系和运行制度基本建立，统一开放、竞争有序、制度完备、治理完善的高标准技术要素市场基本建成。</w:t>
      </w:r>
    </w:p>
    <w:p>
      <w:pPr>
        <w:pStyle w:val="4"/>
        <w:rPr>
          <w:rFonts w:hint="default"/>
          <w:b/>
          <w:bCs/>
          <w:color w:val="7030A0"/>
          <w:lang w:val="en-US" w:eastAsia="zh-CN"/>
        </w:rPr>
      </w:pPr>
      <w:r>
        <w:rPr>
          <w:rFonts w:hint="eastAsia"/>
          <w:b/>
          <w:bCs/>
          <w:color w:val="7030A0"/>
          <w:lang w:val="en-US" w:eastAsia="zh-CN"/>
        </w:rPr>
        <w:t>8.第十四届中国国际航空航天博览会</w:t>
      </w:r>
    </w:p>
    <w:p>
      <w:pPr>
        <w:pStyle w:val="4"/>
        <w:rPr>
          <w:rFonts w:hint="eastAsia"/>
          <w:lang w:eastAsia="zh-CN"/>
        </w:rPr>
      </w:pPr>
      <w:r>
        <w:rPr>
          <w:rFonts w:hint="eastAsia"/>
          <w:lang w:eastAsia="zh-CN"/>
        </w:rPr>
        <w:t>2022年11月5日电，</w:t>
      </w:r>
      <w:r>
        <w:rPr>
          <w:rFonts w:hint="eastAsia"/>
          <w:b/>
          <w:bCs/>
          <w:lang w:eastAsia="zh-CN"/>
        </w:rPr>
        <w:t>第十四届中国国际航空航天博览会</w:t>
      </w:r>
      <w:r>
        <w:rPr>
          <w:rFonts w:hint="eastAsia"/>
          <w:lang w:eastAsia="zh-CN"/>
        </w:rPr>
        <w:t>将于11月8日至13日在</w:t>
      </w:r>
      <w:r>
        <w:rPr>
          <w:rFonts w:hint="eastAsia"/>
          <w:b/>
          <w:bCs/>
          <w:lang w:eastAsia="zh-CN"/>
        </w:rPr>
        <w:t>广东珠海国际航展中心</w:t>
      </w:r>
      <w:r>
        <w:rPr>
          <w:rFonts w:hint="eastAsia"/>
          <w:lang w:eastAsia="zh-CN"/>
        </w:rPr>
        <w:t>举行。近日，空军运油-20抵达珠海，这次是</w:t>
      </w:r>
      <w:r>
        <w:rPr>
          <w:rFonts w:hint="eastAsia"/>
          <w:b/>
          <w:bCs/>
          <w:lang w:eastAsia="zh-CN"/>
        </w:rPr>
        <w:t>运油-20首次在中国航展上亮相</w:t>
      </w:r>
      <w:r>
        <w:rPr>
          <w:rFonts w:hint="eastAsia"/>
          <w:lang w:eastAsia="zh-CN"/>
        </w:rPr>
        <w:t>。</w:t>
      </w:r>
    </w:p>
    <w:p>
      <w:pPr>
        <w:bidi w:val="0"/>
        <w:rPr>
          <w:rFonts w:hint="default"/>
          <w:b/>
          <w:bCs/>
          <w:color w:val="7030A0"/>
          <w:lang w:val="en-US" w:eastAsia="zh-CN"/>
        </w:rPr>
      </w:pPr>
      <w:r>
        <w:rPr>
          <w:rFonts w:hint="eastAsia"/>
          <w:b/>
          <w:bCs/>
          <w:color w:val="7030A0"/>
          <w:lang w:val="en-US" w:eastAsia="zh-CN"/>
        </w:rPr>
        <w:t>9.第五届世界顶尖科学家论坛</w:t>
      </w:r>
    </w:p>
    <w:p>
      <w:pPr>
        <w:bidi w:val="0"/>
        <w:rPr>
          <w:rFonts w:hint="eastAsia"/>
          <w:lang w:eastAsia="zh-CN"/>
        </w:rPr>
      </w:pPr>
      <w:r>
        <w:rPr>
          <w:rFonts w:hint="eastAsia"/>
          <w:lang w:eastAsia="zh-CN"/>
        </w:rPr>
        <w:t>2022年11月7日电，第五届世界顶尖科学家论坛6日在</w:t>
      </w:r>
      <w:r>
        <w:rPr>
          <w:rFonts w:hint="eastAsia"/>
          <w:b/>
          <w:bCs/>
          <w:lang w:eastAsia="zh-CN"/>
        </w:rPr>
        <w:t>上海</w:t>
      </w:r>
      <w:r>
        <w:rPr>
          <w:rFonts w:hint="eastAsia"/>
          <w:lang w:eastAsia="zh-CN"/>
        </w:rPr>
        <w:t>开幕，</w:t>
      </w:r>
      <w:r>
        <w:rPr>
          <w:rFonts w:hint="eastAsia"/>
          <w:b/>
          <w:bCs/>
          <w:lang w:eastAsia="zh-CN"/>
        </w:rPr>
        <w:t>主题为“科学向新共创未来”</w:t>
      </w:r>
      <w:r>
        <w:rPr>
          <w:rFonts w:hint="eastAsia"/>
          <w:lang w:eastAsia="zh-CN"/>
        </w:rPr>
        <w:t>，共举办21场重要活动。</w:t>
      </w:r>
    </w:p>
    <w:p>
      <w:pPr>
        <w:rPr>
          <w:rFonts w:hint="default"/>
          <w:b/>
          <w:bCs/>
          <w:color w:val="7030A0"/>
          <w:lang w:val="en-US" w:eastAsia="zh-CN"/>
        </w:rPr>
      </w:pPr>
      <w:r>
        <w:rPr>
          <w:rFonts w:hint="eastAsia"/>
          <w:b/>
          <w:bCs/>
          <w:color w:val="7030A0"/>
          <w:lang w:val="en-US" w:eastAsia="zh-CN"/>
        </w:rPr>
        <w:t>10.第十四届中国航展</w:t>
      </w:r>
    </w:p>
    <w:p>
      <w:pPr>
        <w:rPr>
          <w:rFonts w:hint="eastAsia"/>
          <w:lang w:eastAsia="zh-CN"/>
        </w:rPr>
      </w:pPr>
      <w:r>
        <w:rPr>
          <w:rFonts w:hint="eastAsia"/>
          <w:lang w:eastAsia="zh-CN"/>
        </w:rPr>
        <w:t>2022年11月8日，</w:t>
      </w:r>
      <w:r>
        <w:rPr>
          <w:rFonts w:hint="eastAsia"/>
          <w:b/>
          <w:bCs/>
          <w:lang w:eastAsia="zh-CN"/>
        </w:rPr>
        <w:t>第十四届中国航展在广东珠海国际航展中心举行</w:t>
      </w:r>
      <w:r>
        <w:rPr>
          <w:rFonts w:hint="eastAsia"/>
          <w:lang w:eastAsia="zh-CN"/>
        </w:rPr>
        <w:t>，来自43个国家和地区的740多家企业线上线下参展。</w:t>
      </w:r>
    </w:p>
    <w:p>
      <w:pPr>
        <w:rPr>
          <w:rFonts w:hint="default"/>
          <w:b/>
          <w:bCs/>
          <w:color w:val="7030A0"/>
          <w:lang w:val="en-US" w:eastAsia="zh-CN"/>
        </w:rPr>
      </w:pPr>
      <w:r>
        <w:rPr>
          <w:rFonts w:hint="eastAsia"/>
          <w:b/>
          <w:bCs/>
          <w:color w:val="7030A0"/>
          <w:lang w:val="en-US" w:eastAsia="zh-CN"/>
        </w:rPr>
        <w:t>11.将组建3家国家制造业创新中心</w:t>
      </w:r>
    </w:p>
    <w:p>
      <w:pPr>
        <w:bidi w:val="0"/>
        <w:rPr>
          <w:rFonts w:hint="eastAsia"/>
          <w:lang w:eastAsia="zh-CN"/>
        </w:rPr>
      </w:pPr>
      <w:r>
        <w:rPr>
          <w:rFonts w:hint="eastAsia" w:eastAsia="宋体"/>
          <w:lang w:eastAsia="zh-CN"/>
        </w:rPr>
        <w:t>2022年11月9日电，工信部批复组建国家石墨烯创新中心、国家虚拟现实创新中心、国家超高清视频创新中心等3家国家制造业创新中心。</w:t>
      </w:r>
    </w:p>
    <w:p>
      <w:pPr>
        <w:rPr>
          <w:rFonts w:hint="eastAsia"/>
          <w:b/>
          <w:bCs/>
          <w:color w:val="7030A0"/>
          <w:lang w:val="en-US" w:eastAsia="zh-CN"/>
        </w:rPr>
      </w:pPr>
      <w:r>
        <w:rPr>
          <w:rFonts w:hint="eastAsia"/>
          <w:b/>
          <w:bCs/>
          <w:color w:val="7030A0"/>
          <w:lang w:val="en-US" w:eastAsia="zh-CN"/>
        </w:rPr>
        <w:t>12.2022年世界互联网大会</w:t>
      </w:r>
    </w:p>
    <w:p>
      <w:pPr>
        <w:rPr>
          <w:rFonts w:hint="default"/>
          <w:b w:val="0"/>
          <w:bCs w:val="0"/>
          <w:color w:val="7030A0"/>
          <w:lang w:val="en-US" w:eastAsia="zh-CN"/>
        </w:rPr>
      </w:pPr>
      <w:r>
        <w:rPr>
          <w:rFonts w:hint="eastAsia"/>
          <w:b w:val="0"/>
          <w:bCs w:val="0"/>
          <w:color w:val="7030A0"/>
          <w:lang w:val="en-US" w:eastAsia="zh-CN"/>
        </w:rPr>
        <w:t>（1）全球发展倡议数字合作论坛</w:t>
      </w:r>
    </w:p>
    <w:p>
      <w:pPr>
        <w:pStyle w:val="4"/>
        <w:rPr>
          <w:rFonts w:hint="eastAsia"/>
          <w:b/>
          <w:bCs/>
          <w:lang w:eastAsia="zh-CN"/>
        </w:rPr>
      </w:pPr>
      <w:r>
        <w:rPr>
          <w:rFonts w:hint="eastAsia"/>
          <w:lang w:eastAsia="zh-CN"/>
        </w:rPr>
        <w:t>2022年11月9日，</w:t>
      </w:r>
      <w:r>
        <w:rPr>
          <w:rFonts w:hint="eastAsia"/>
          <w:b/>
          <w:bCs/>
          <w:lang w:eastAsia="zh-CN"/>
        </w:rPr>
        <w:t>全球发展倡议数字合作论坛在乌镇互联网国际会议中心</w:t>
      </w:r>
      <w:r>
        <w:rPr>
          <w:rFonts w:hint="eastAsia"/>
          <w:lang w:eastAsia="zh-CN"/>
        </w:rPr>
        <w:t>召开。论坛主题</w:t>
      </w:r>
      <w:r>
        <w:rPr>
          <w:rFonts w:hint="eastAsia"/>
          <w:b/>
          <w:bCs/>
          <w:lang w:eastAsia="zh-CN"/>
        </w:rPr>
        <w:t>为“凝聚数字合作新共识 共创全球发展新时代”。</w:t>
      </w:r>
    </w:p>
    <w:p>
      <w:pPr>
        <w:rPr>
          <w:rFonts w:hint="eastAsia"/>
          <w:b w:val="0"/>
          <w:bCs w:val="0"/>
          <w:color w:val="7030A0"/>
          <w:lang w:val="en-US" w:eastAsia="zh-CN"/>
        </w:rPr>
      </w:pPr>
      <w:r>
        <w:rPr>
          <w:rFonts w:hint="eastAsia"/>
          <w:b w:val="0"/>
          <w:bCs w:val="0"/>
          <w:color w:val="7030A0"/>
          <w:lang w:val="en-US" w:eastAsia="zh-CN"/>
        </w:rPr>
        <w:t>（2）主题与发展道路</w:t>
      </w:r>
    </w:p>
    <w:p>
      <w:pPr>
        <w:rPr>
          <w:rFonts w:hint="eastAsia"/>
          <w:lang w:eastAsia="zh-CN"/>
        </w:rPr>
      </w:pPr>
      <w:r>
        <w:rPr>
          <w:rFonts w:hint="eastAsia" w:eastAsia="宋体"/>
          <w:lang w:eastAsia="zh-CN"/>
        </w:rPr>
        <w:t>2022年11月9日，</w:t>
      </w:r>
      <w:r>
        <w:rPr>
          <w:rFonts w:hint="eastAsia" w:eastAsia="宋体"/>
          <w:b/>
          <w:bCs/>
          <w:lang w:eastAsia="zh-CN"/>
        </w:rPr>
        <w:t>2022年世界互联网大会乌镇峰</w:t>
      </w:r>
      <w:r>
        <w:rPr>
          <w:rFonts w:hint="eastAsia" w:eastAsia="宋体"/>
          <w:lang w:eastAsia="zh-CN"/>
        </w:rPr>
        <w:t>会在浙江嘉兴的乌镇开幕，峰会</w:t>
      </w:r>
      <w:r>
        <w:rPr>
          <w:rFonts w:hint="eastAsia" w:eastAsia="宋体"/>
          <w:b/>
          <w:bCs/>
          <w:lang w:eastAsia="zh-CN"/>
        </w:rPr>
        <w:t>以“共建网络世界 共创数字未来——携手构建网络空间命运共同体”为主题</w:t>
      </w:r>
      <w:r>
        <w:rPr>
          <w:rFonts w:hint="eastAsia" w:eastAsia="宋体"/>
          <w:lang w:eastAsia="zh-CN"/>
        </w:rPr>
        <w:t>，是</w:t>
      </w:r>
      <w:r>
        <w:rPr>
          <w:rFonts w:hint="eastAsia" w:eastAsia="宋体"/>
          <w:b/>
          <w:bCs/>
          <w:lang w:eastAsia="zh-CN"/>
        </w:rPr>
        <w:t>世界互联网大会国际组织成立后的首届年会</w:t>
      </w:r>
      <w:r>
        <w:rPr>
          <w:rFonts w:hint="eastAsia" w:eastAsia="宋体"/>
          <w:lang w:eastAsia="zh-CN"/>
        </w:rPr>
        <w:t>。习近平指出，面对数字化带来的机遇和挑战，国际社会应加强</w:t>
      </w:r>
      <w:r>
        <w:rPr>
          <w:rFonts w:hint="eastAsia" w:eastAsia="宋体"/>
          <w:b/>
          <w:bCs/>
          <w:lang w:eastAsia="zh-CN"/>
        </w:rPr>
        <w:t>对话交流、深化务实合作，携手构建更加公平合理、开放包容、安全稳定、富有生机活力的网络空间</w:t>
      </w:r>
      <w:r>
        <w:rPr>
          <w:rFonts w:hint="eastAsia" w:eastAsia="宋体"/>
          <w:lang w:eastAsia="zh-CN"/>
        </w:rPr>
        <w:t>。中国愿同世界各国一道，</w:t>
      </w:r>
      <w:r>
        <w:rPr>
          <w:rFonts w:hint="eastAsia" w:eastAsia="宋体"/>
          <w:b/>
          <w:bCs/>
          <w:lang w:eastAsia="zh-CN"/>
        </w:rPr>
        <w:t>携手走出一条数字资源共建共享、数字经济活力迸发、数字治理精准高效、数字文化繁荣发展、数字安全保障有力、数字合作互利共赢的全球数字发展道路</w:t>
      </w:r>
      <w:r>
        <w:rPr>
          <w:rFonts w:hint="eastAsia" w:eastAsia="宋体"/>
          <w:lang w:eastAsia="zh-CN"/>
        </w:rPr>
        <w:t>，</w:t>
      </w:r>
      <w:r>
        <w:rPr>
          <w:rFonts w:hint="eastAsia" w:eastAsia="宋体"/>
          <w:b/>
          <w:bCs/>
          <w:lang w:eastAsia="zh-CN"/>
        </w:rPr>
        <w:t>加快构建网络空间命运共同体</w:t>
      </w:r>
      <w:r>
        <w:rPr>
          <w:rFonts w:hint="eastAsia" w:eastAsia="宋体"/>
          <w:lang w:eastAsia="zh-CN"/>
        </w:rPr>
        <w:t>，为世界和平发展和人类文明进步贡献智慧和力量。</w:t>
      </w:r>
    </w:p>
    <w:p>
      <w:pPr>
        <w:rPr>
          <w:rFonts w:hint="default"/>
          <w:b w:val="0"/>
          <w:bCs w:val="0"/>
          <w:color w:val="7030A0"/>
          <w:lang w:val="en-US" w:eastAsia="zh-CN"/>
        </w:rPr>
      </w:pPr>
      <w:r>
        <w:rPr>
          <w:rFonts w:hint="eastAsia"/>
          <w:b w:val="0"/>
          <w:bCs w:val="0"/>
          <w:color w:val="7030A0"/>
          <w:lang w:val="en-US" w:eastAsia="zh-CN"/>
        </w:rPr>
        <w:t>（3）2本蓝皮书《报告》</w:t>
      </w:r>
    </w:p>
    <w:p>
      <w:pPr>
        <w:rPr>
          <w:rFonts w:hint="eastAsia"/>
          <w:lang w:eastAsia="zh-CN"/>
        </w:rPr>
      </w:pPr>
      <w:r>
        <w:rPr>
          <w:rFonts w:hint="eastAsia" w:eastAsia="宋体"/>
          <w:lang w:eastAsia="zh-CN"/>
        </w:rPr>
        <w:t>2022年11月9日，</w:t>
      </w:r>
      <w:r>
        <w:rPr>
          <w:rFonts w:hint="eastAsia" w:eastAsia="宋体"/>
          <w:b/>
          <w:bCs/>
          <w:lang w:eastAsia="zh-CN"/>
        </w:rPr>
        <w:t>《中国互联网发展报告2022》和《世界互联网发展报告2022》蓝皮书在2022年世界互联网大会乌镇峰会上发布</w:t>
      </w:r>
      <w:r>
        <w:rPr>
          <w:rFonts w:hint="eastAsia" w:eastAsia="宋体"/>
          <w:lang w:eastAsia="zh-CN"/>
        </w:rPr>
        <w:t>。自2017年起，蓝皮书已</w:t>
      </w:r>
      <w:r>
        <w:rPr>
          <w:rFonts w:hint="eastAsia" w:eastAsia="宋体"/>
          <w:b/>
          <w:bCs/>
          <w:lang w:eastAsia="zh-CN"/>
        </w:rPr>
        <w:t>连续六年面向全球发布</w:t>
      </w:r>
      <w:r>
        <w:rPr>
          <w:rFonts w:hint="eastAsia" w:eastAsia="宋体"/>
          <w:lang w:eastAsia="zh-CN"/>
        </w:rPr>
        <w:t>，是世界互联网大会的一项重要内容，客观展现互联网发展的新进展、新成就、新趋势，受到海内外广泛关注。</w:t>
      </w:r>
    </w:p>
    <w:p>
      <w:pPr>
        <w:rPr>
          <w:rFonts w:hint="default"/>
          <w:b/>
          <w:bCs/>
          <w:color w:val="7030A0"/>
          <w:lang w:val="en-US" w:eastAsia="zh-CN"/>
        </w:rPr>
      </w:pPr>
      <w:r>
        <w:rPr>
          <w:rFonts w:hint="eastAsia"/>
          <w:b/>
          <w:bCs/>
          <w:color w:val="7030A0"/>
          <w:lang w:val="en-US" w:eastAsia="zh-CN"/>
        </w:rPr>
        <w:t>13.2022世界VR产业大会</w:t>
      </w:r>
    </w:p>
    <w:p>
      <w:pPr>
        <w:pStyle w:val="4"/>
        <w:rPr>
          <w:rFonts w:hint="eastAsia"/>
          <w:lang w:eastAsia="zh-CN"/>
        </w:rPr>
      </w:pPr>
      <w:r>
        <w:rPr>
          <w:rFonts w:hint="eastAsia"/>
          <w:lang w:eastAsia="zh-CN"/>
        </w:rPr>
        <w:t>2022年11月14日电，</w:t>
      </w:r>
      <w:r>
        <w:rPr>
          <w:rFonts w:hint="eastAsia"/>
          <w:b/>
          <w:bCs/>
          <w:lang w:eastAsia="zh-CN"/>
        </w:rPr>
        <w:t>2022世界VR产业大会</w:t>
      </w:r>
      <w:r>
        <w:rPr>
          <w:rFonts w:hint="eastAsia"/>
          <w:lang w:eastAsia="zh-CN"/>
        </w:rPr>
        <w:t>12日至13日在</w:t>
      </w:r>
      <w:r>
        <w:rPr>
          <w:rFonts w:hint="eastAsia"/>
          <w:b/>
          <w:bCs/>
          <w:lang w:eastAsia="zh-CN"/>
        </w:rPr>
        <w:t>江西南昌</w:t>
      </w:r>
      <w:r>
        <w:rPr>
          <w:rFonts w:hint="eastAsia"/>
          <w:lang w:eastAsia="zh-CN"/>
        </w:rPr>
        <w:t>举行。本届大会以“</w:t>
      </w:r>
      <w:r>
        <w:rPr>
          <w:rFonts w:hint="eastAsia"/>
          <w:b/>
          <w:bCs/>
          <w:lang w:eastAsia="zh-CN"/>
        </w:rPr>
        <w:t>VR让世界更精彩VR点亮元宇宙”为主题</w:t>
      </w:r>
      <w:r>
        <w:rPr>
          <w:rFonts w:hint="eastAsia"/>
          <w:lang w:eastAsia="zh-CN"/>
        </w:rPr>
        <w:t>，大会共签约项目107个，签约金额达716.67亿元。</w:t>
      </w:r>
    </w:p>
    <w:p>
      <w:pPr>
        <w:pStyle w:val="8"/>
        <w:shd w:val="clear" w:fill="F1F1F1" w:themeFill="background1" w:themeFillShade="F2"/>
        <w:bidi w:val="0"/>
        <w:rPr>
          <w:rFonts w:hint="eastAsia"/>
          <w:lang w:eastAsia="zh-CN"/>
        </w:rPr>
      </w:pPr>
      <w:r>
        <w:rPr>
          <w:rFonts w:hint="eastAsia"/>
          <w:lang w:eastAsia="zh-CN"/>
        </w:rPr>
        <w:t>文教类</w:t>
      </w:r>
    </w:p>
    <w:p>
      <w:pPr>
        <w:pStyle w:val="4"/>
        <w:rPr>
          <w:rFonts w:hint="eastAsia"/>
          <w:b/>
          <w:bCs/>
          <w:color w:val="7030A0"/>
          <w:lang w:val="en-US" w:eastAsia="zh-CN"/>
        </w:rPr>
      </w:pPr>
      <w:r>
        <w:rPr>
          <w:rFonts w:hint="eastAsia"/>
          <w:b/>
          <w:bCs/>
          <w:color w:val="7030A0"/>
          <w:lang w:val="en-US" w:eastAsia="zh-CN"/>
        </w:rPr>
        <w:t>1.</w:t>
      </w:r>
      <w:r>
        <w:rPr>
          <w:rFonts w:hint="eastAsia"/>
          <w:b/>
          <w:bCs/>
          <w:color w:val="7030A0"/>
          <w:lang w:eastAsia="zh-CN"/>
        </w:rPr>
        <w:t>2022年中国金鸡百花电影节</w:t>
      </w:r>
    </w:p>
    <w:p>
      <w:pPr>
        <w:pStyle w:val="4"/>
        <w:rPr>
          <w:rFonts w:hint="eastAsia"/>
          <w:lang w:eastAsia="zh-CN"/>
        </w:rPr>
      </w:pPr>
      <w:r>
        <w:rPr>
          <w:rFonts w:hint="eastAsia"/>
          <w:lang w:eastAsia="zh-CN"/>
        </w:rPr>
        <w:t>2022年11月2日电，2022年中国金鸡百花电影节（第35届中国电影金鸡奖）将于11月10日至12日在</w:t>
      </w:r>
      <w:r>
        <w:rPr>
          <w:rFonts w:hint="eastAsia"/>
          <w:b/>
          <w:bCs/>
          <w:lang w:eastAsia="zh-CN"/>
        </w:rPr>
        <w:t>福建省厦门市</w:t>
      </w:r>
      <w:r>
        <w:rPr>
          <w:rFonts w:hint="eastAsia"/>
          <w:lang w:eastAsia="zh-CN"/>
        </w:rPr>
        <w:t>举办。</w:t>
      </w:r>
    </w:p>
    <w:p>
      <w:pPr>
        <w:bidi w:val="0"/>
        <w:rPr>
          <w:rFonts w:hint="eastAsia"/>
          <w:highlight w:val="none"/>
          <w:lang w:eastAsia="zh-CN"/>
        </w:rPr>
      </w:pPr>
      <w:r>
        <w:rPr>
          <w:rFonts w:hint="eastAsia"/>
          <w:highlight w:val="none"/>
          <w:lang w:eastAsia="zh-CN"/>
        </w:rPr>
        <w:t>2022年11月10日，</w:t>
      </w:r>
      <w:r>
        <w:rPr>
          <w:rFonts w:hint="eastAsia"/>
          <w:b/>
          <w:bCs/>
          <w:highlight w:val="none"/>
          <w:lang w:eastAsia="zh-CN"/>
        </w:rPr>
        <w:t>2022年中国金鸡百花电影节暨第35届中国电影金鸡奖在福建厦门</w:t>
      </w:r>
      <w:r>
        <w:rPr>
          <w:rFonts w:hint="eastAsia"/>
          <w:highlight w:val="none"/>
          <w:lang w:eastAsia="zh-CN"/>
        </w:rPr>
        <w:t>开幕。三天时间将举办8大类23项活动，多种类型影片角逐金鸡奖20个奖项。</w:t>
      </w:r>
    </w:p>
    <w:p>
      <w:pPr>
        <w:pStyle w:val="4"/>
        <w:rPr>
          <w:rFonts w:hint="eastAsia"/>
          <w:b/>
          <w:bCs/>
          <w:color w:val="7030A0"/>
          <w:lang w:val="en-US" w:eastAsia="zh-CN"/>
        </w:rPr>
      </w:pPr>
      <w:r>
        <w:rPr>
          <w:rFonts w:hint="eastAsia"/>
          <w:b/>
          <w:bCs/>
          <w:color w:val="7030A0"/>
          <w:lang w:val="en-US" w:eastAsia="zh-CN"/>
        </w:rPr>
        <w:t>2.辽宁红沿河核电站核能供暖示范项目正式投运供热</w:t>
      </w:r>
    </w:p>
    <w:p>
      <w:pPr>
        <w:pStyle w:val="4"/>
        <w:rPr>
          <w:rFonts w:hint="eastAsia"/>
          <w:lang w:eastAsia="zh-CN"/>
        </w:rPr>
      </w:pPr>
      <w:r>
        <w:rPr>
          <w:rFonts w:hint="eastAsia"/>
          <w:lang w:eastAsia="zh-CN"/>
        </w:rPr>
        <w:t>2022年11月1日，</w:t>
      </w:r>
      <w:r>
        <w:rPr>
          <w:rFonts w:hint="eastAsia"/>
          <w:b/>
          <w:bCs/>
          <w:color w:val="auto"/>
          <w:lang w:eastAsia="zh-CN"/>
        </w:rPr>
        <w:t>辽宁红沿河核电站核能供暖示范项目正式投运供热</w:t>
      </w:r>
      <w:r>
        <w:rPr>
          <w:rFonts w:hint="eastAsia"/>
          <w:lang w:eastAsia="zh-CN"/>
        </w:rPr>
        <w:t>，该项目是</w:t>
      </w:r>
      <w:r>
        <w:rPr>
          <w:rFonts w:hint="eastAsia"/>
          <w:b/>
          <w:bCs/>
          <w:lang w:eastAsia="zh-CN"/>
        </w:rPr>
        <w:t>我国东北地区首个核能供暖项目</w:t>
      </w:r>
      <w:r>
        <w:rPr>
          <w:rFonts w:hint="eastAsia"/>
          <w:lang w:eastAsia="zh-CN"/>
        </w:rPr>
        <w:t>，覆盖辽宁大连瓦房店市红沿河镇。</w:t>
      </w:r>
    </w:p>
    <w:p>
      <w:pPr>
        <w:bidi w:val="0"/>
        <w:rPr>
          <w:rFonts w:hint="eastAsia"/>
          <w:lang w:eastAsia="zh-CN"/>
        </w:rPr>
      </w:pPr>
      <w:r>
        <w:rPr>
          <w:rFonts w:hint="eastAsia"/>
          <w:lang w:val="en-US" w:eastAsia="zh-CN"/>
        </w:rPr>
        <w:t>3.</w:t>
      </w:r>
      <w:r>
        <w:rPr>
          <w:rFonts w:hint="eastAsia"/>
          <w:lang w:eastAsia="zh-CN"/>
        </w:rPr>
        <w:t>2022年11月6日，</w:t>
      </w:r>
      <w:r>
        <w:rPr>
          <w:rFonts w:hint="eastAsia" w:ascii="宋体" w:hAnsi="宋体" w:eastAsia="宋体" w:cs="宋体"/>
          <w:b/>
          <w:bCs/>
          <w:color w:val="7030A0"/>
          <w:kern w:val="2"/>
          <w:sz w:val="21"/>
          <w:szCs w:val="24"/>
          <w:lang w:val="en-US" w:eastAsia="zh-CN" w:bidi="ar-SA"/>
        </w:rPr>
        <w:t>雷佳音、殷桃</w:t>
      </w:r>
      <w:r>
        <w:rPr>
          <w:rFonts w:hint="eastAsia"/>
          <w:lang w:eastAsia="zh-CN"/>
        </w:rPr>
        <w:t>分别获得</w:t>
      </w:r>
      <w:r>
        <w:rPr>
          <w:rFonts w:hint="eastAsia"/>
          <w:b/>
          <w:bCs/>
          <w:color w:val="auto"/>
          <w:lang w:eastAsia="zh-CN"/>
        </w:rPr>
        <w:t>第31届中国电视金鹰奖最佳男、女主角奖</w:t>
      </w:r>
      <w:r>
        <w:rPr>
          <w:rFonts w:hint="eastAsia"/>
          <w:lang w:eastAsia="zh-CN"/>
        </w:rPr>
        <w:t>，</w:t>
      </w:r>
      <w:r>
        <w:rPr>
          <w:rFonts w:hint="eastAsia"/>
          <w:b/>
          <w:bCs/>
          <w:lang w:eastAsia="zh-CN"/>
        </w:rPr>
        <w:t>《觉醒年代》</w:t>
      </w:r>
      <w:r>
        <w:rPr>
          <w:rFonts w:hint="eastAsia"/>
          <w:lang w:eastAsia="zh-CN"/>
        </w:rPr>
        <w:t>获最佳电视剧奖。</w:t>
      </w:r>
    </w:p>
    <w:p>
      <w:pPr>
        <w:bidi w:val="0"/>
        <w:rPr>
          <w:rFonts w:hint="eastAsia"/>
          <w:lang w:eastAsia="zh-CN"/>
        </w:rPr>
      </w:pPr>
      <w:r>
        <w:rPr>
          <w:rFonts w:hint="eastAsia"/>
          <w:lang w:val="en-US" w:eastAsia="zh-CN"/>
        </w:rPr>
        <w:t>4.</w:t>
      </w:r>
      <w:r>
        <w:rPr>
          <w:rFonts w:hint="eastAsia"/>
          <w:lang w:eastAsia="zh-CN"/>
        </w:rPr>
        <w:t>2022年11月6日电，日前，联合国粮农组织认定</w:t>
      </w:r>
      <w:r>
        <w:rPr>
          <w:rFonts w:hint="eastAsia"/>
          <w:b/>
          <w:bCs/>
          <w:lang w:eastAsia="zh-CN"/>
        </w:rPr>
        <w:t>“浙江庆元林-菇共育系统”</w:t>
      </w:r>
      <w:r>
        <w:rPr>
          <w:rFonts w:hint="eastAsia"/>
          <w:lang w:eastAsia="zh-CN"/>
        </w:rPr>
        <w:t>为全球重要农业文化遗产。</w:t>
      </w:r>
    </w:p>
    <w:p>
      <w:pPr>
        <w:rPr>
          <w:rFonts w:hint="eastAsia" w:ascii="宋体" w:hAnsi="宋体" w:eastAsia="宋体" w:cs="宋体"/>
          <w:b/>
          <w:bCs/>
          <w:color w:val="7030A0"/>
          <w:kern w:val="2"/>
          <w:sz w:val="21"/>
          <w:szCs w:val="24"/>
          <w:lang w:val="en-US" w:eastAsia="zh-CN" w:bidi="ar-SA"/>
        </w:rPr>
      </w:pPr>
      <w:r>
        <w:rPr>
          <w:rFonts w:hint="eastAsia" w:ascii="宋体" w:hAnsi="宋体" w:eastAsia="宋体" w:cs="宋体"/>
          <w:b/>
          <w:bCs/>
          <w:color w:val="7030A0"/>
          <w:kern w:val="2"/>
          <w:sz w:val="21"/>
          <w:szCs w:val="24"/>
          <w:lang w:val="en-US" w:eastAsia="zh-CN" w:bidi="ar-SA"/>
        </w:rPr>
        <w:t>5.《特殊教育办学质量评价指南》</w:t>
      </w:r>
    </w:p>
    <w:p>
      <w:pPr>
        <w:rPr>
          <w:rFonts w:hint="eastAsia" w:eastAsiaTheme="minorEastAsia"/>
          <w:lang w:eastAsia="zh-CN"/>
        </w:rPr>
      </w:pPr>
      <w:r>
        <w:rPr>
          <w:rFonts w:hint="eastAsia" w:eastAsiaTheme="minorEastAsia"/>
          <w:lang w:eastAsia="zh-CN"/>
        </w:rPr>
        <w:t>2022年11月8日电，近日，教育部印发了《特殊教育办学质量评价指南》。《评价指南》强调，要</w:t>
      </w:r>
      <w:r>
        <w:rPr>
          <w:rFonts w:hint="eastAsia" w:eastAsiaTheme="minorEastAsia"/>
          <w:b/>
          <w:bCs/>
          <w:lang w:eastAsia="zh-CN"/>
        </w:rPr>
        <w:t>坚持正确方向、育人为本、统筹兼顾、以评促建，全面提升特殊教育办学质量，促进特殊儿童自尊、自信、自强、自立。</w:t>
      </w:r>
      <w:r>
        <w:rPr>
          <w:rFonts w:hint="eastAsia" w:eastAsiaTheme="minorEastAsia"/>
          <w:lang w:eastAsia="zh-CN"/>
        </w:rPr>
        <w:t>《评价指南》根据特殊教育办学特点，明确了政府履行职责、课程教学实施、教师队伍建设、学校组织管理、学生适宜发展等5方面评价内容。</w:t>
      </w:r>
    </w:p>
    <w:p>
      <w:pPr>
        <w:bidi w:val="0"/>
        <w:rPr>
          <w:rFonts w:hint="eastAsia" w:eastAsiaTheme="minorEastAsia"/>
          <w:lang w:eastAsia="zh-CN"/>
        </w:rPr>
      </w:pPr>
      <w:r>
        <w:rPr>
          <w:rFonts w:hint="eastAsia" w:eastAsiaTheme="minorEastAsia"/>
          <w:lang w:val="en-US" w:eastAsia="zh-CN"/>
        </w:rPr>
        <w:t>6.</w:t>
      </w:r>
      <w:r>
        <w:rPr>
          <w:rFonts w:hint="eastAsia" w:eastAsiaTheme="minorEastAsia"/>
          <w:lang w:eastAsia="zh-CN"/>
        </w:rPr>
        <w:t>2022年11月9日电，</w:t>
      </w:r>
      <w:r>
        <w:rPr>
          <w:rFonts w:hint="eastAsia" w:eastAsiaTheme="minorEastAsia"/>
          <w:b/>
          <w:bCs/>
          <w:lang w:eastAsia="zh-CN"/>
        </w:rPr>
        <w:t>第三十二届中国新闻奖、第十七届长江韬奋奖评选结果揭晓</w:t>
      </w:r>
      <w:r>
        <w:rPr>
          <w:rFonts w:hint="eastAsia" w:eastAsiaTheme="minorEastAsia"/>
          <w:lang w:eastAsia="zh-CN"/>
        </w:rPr>
        <w:t>。来自全国各级各类媒体的376件作品获中国新闻奖，20位新闻工作者获得长江韬奋奖。</w:t>
      </w:r>
    </w:p>
    <w:p>
      <w:pPr>
        <w:bidi w:val="0"/>
        <w:rPr>
          <w:rFonts w:hint="eastAsia"/>
          <w:lang w:eastAsia="zh-CN"/>
        </w:rPr>
      </w:pPr>
      <w:r>
        <w:rPr>
          <w:rFonts w:hint="eastAsia"/>
          <w:lang w:val="en-US" w:eastAsia="zh-CN"/>
        </w:rPr>
        <w:t>7.</w:t>
      </w:r>
      <w:r>
        <w:rPr>
          <w:rFonts w:hint="eastAsia"/>
          <w:lang w:eastAsia="zh-CN"/>
        </w:rPr>
        <w:t>2022年11月9日电，考古人员在</w:t>
      </w:r>
      <w:r>
        <w:rPr>
          <w:rFonts w:hint="eastAsia"/>
          <w:b/>
          <w:bCs/>
          <w:lang w:eastAsia="zh-CN"/>
        </w:rPr>
        <w:t>内蒙古察哈尔右翼中旗</w:t>
      </w:r>
      <w:r>
        <w:rPr>
          <w:rFonts w:hint="eastAsia"/>
          <w:lang w:eastAsia="zh-CN"/>
        </w:rPr>
        <w:t>发现一处</w:t>
      </w:r>
      <w:r>
        <w:rPr>
          <w:rFonts w:hint="eastAsia"/>
          <w:b/>
          <w:bCs/>
          <w:lang w:eastAsia="zh-CN"/>
        </w:rPr>
        <w:t>新石器时代遗址</w:t>
      </w:r>
      <w:r>
        <w:rPr>
          <w:rFonts w:hint="eastAsia"/>
          <w:lang w:eastAsia="zh-CN"/>
        </w:rPr>
        <w:t>，经专家初步确认，该遗址为</w:t>
      </w:r>
      <w:r>
        <w:rPr>
          <w:rFonts w:hint="eastAsia"/>
          <w:b/>
          <w:bCs/>
          <w:lang w:eastAsia="zh-CN"/>
        </w:rPr>
        <w:t>距今6000多年前的仰韶文化庙底沟类型新石器时代遗迹</w:t>
      </w:r>
      <w:r>
        <w:rPr>
          <w:rFonts w:hint="eastAsia"/>
          <w:lang w:eastAsia="zh-CN"/>
        </w:rPr>
        <w:t>。这是</w:t>
      </w:r>
      <w:r>
        <w:rPr>
          <w:rFonts w:hint="eastAsia"/>
          <w:b/>
          <w:bCs/>
          <w:lang w:eastAsia="zh-CN"/>
        </w:rPr>
        <w:t>该地区第二次发现此类型新石器时代遗址</w:t>
      </w:r>
      <w:r>
        <w:rPr>
          <w:rFonts w:hint="eastAsia"/>
          <w:lang w:eastAsia="zh-CN"/>
        </w:rPr>
        <w:t>。仰韶文化存在于公元前4500年至公元前7000年，是华夏文明的重要来源之一，其时间跨度长，延续的时代是中华文明探源的关键时期。</w:t>
      </w:r>
    </w:p>
    <w:p>
      <w:pPr>
        <w:bidi w:val="0"/>
        <w:rPr>
          <w:rFonts w:hint="eastAsia"/>
          <w:highlight w:val="none"/>
          <w:lang w:eastAsia="zh-CN"/>
        </w:rPr>
      </w:pPr>
      <w:r>
        <w:rPr>
          <w:rFonts w:hint="eastAsia"/>
          <w:highlight w:val="none"/>
          <w:lang w:val="en-US" w:eastAsia="zh-CN"/>
        </w:rPr>
        <w:t>8.</w:t>
      </w:r>
      <w:r>
        <w:rPr>
          <w:rFonts w:hint="eastAsia"/>
          <w:highlight w:val="none"/>
          <w:lang w:eastAsia="zh-CN"/>
        </w:rPr>
        <w:t>2022年11月10日至11日，</w:t>
      </w:r>
      <w:r>
        <w:rPr>
          <w:rFonts w:hint="eastAsia"/>
          <w:b/>
          <w:bCs/>
          <w:highlight w:val="none"/>
          <w:lang w:eastAsia="zh-CN"/>
        </w:rPr>
        <w:t>2022国际版权论坛</w:t>
      </w:r>
      <w:r>
        <w:rPr>
          <w:rFonts w:hint="eastAsia"/>
          <w:highlight w:val="none"/>
          <w:lang w:eastAsia="zh-CN"/>
        </w:rPr>
        <w:t>在</w:t>
      </w:r>
      <w:r>
        <w:rPr>
          <w:rFonts w:hint="eastAsia"/>
          <w:b/>
          <w:bCs/>
          <w:highlight w:val="none"/>
          <w:lang w:eastAsia="zh-CN"/>
        </w:rPr>
        <w:t>江西景德镇</w:t>
      </w:r>
      <w:r>
        <w:rPr>
          <w:rFonts w:hint="eastAsia"/>
          <w:highlight w:val="none"/>
          <w:lang w:eastAsia="zh-CN"/>
        </w:rPr>
        <w:t>举行。版权兼具创新属性和文化属性，在促进创意产业发展、推动</w:t>
      </w:r>
      <w:r>
        <w:rPr>
          <w:rFonts w:hint="eastAsia"/>
          <w:b/>
          <w:bCs/>
          <w:highlight w:val="none"/>
          <w:lang w:eastAsia="zh-CN"/>
        </w:rPr>
        <w:t>中华优秀传统文化创造性转化创新性发展方面具有天然优势</w:t>
      </w:r>
      <w:r>
        <w:rPr>
          <w:rFonts w:hint="eastAsia"/>
          <w:highlight w:val="none"/>
          <w:lang w:eastAsia="zh-CN"/>
        </w:rPr>
        <w:t>。无论是发展创意产业，还是推进文化繁荣发展，都需要以版权保护为前提和保障，都离不开版权工作的助力和支持。</w:t>
      </w:r>
    </w:p>
    <w:p>
      <w:pPr>
        <w:pStyle w:val="2"/>
        <w:rPr>
          <w:rFonts w:hint="eastAsia"/>
          <w:lang w:eastAsia="zh-CN"/>
        </w:rPr>
      </w:pPr>
    </w:p>
    <w:p>
      <w:pPr>
        <w:pStyle w:val="4"/>
        <w:rPr>
          <w:rFonts w:hint="eastAsia"/>
          <w:b/>
          <w:bCs/>
          <w:color w:val="7030A0"/>
          <w:lang w:val="en-US" w:eastAsia="zh-CN"/>
        </w:rPr>
      </w:pPr>
      <w:r>
        <w:rPr>
          <w:rFonts w:hint="eastAsia"/>
          <w:b/>
          <w:bCs/>
          <w:color w:val="7030A0"/>
          <w:lang w:val="en-US" w:eastAsia="zh-CN"/>
        </w:rPr>
        <w:t>9.</w:t>
      </w:r>
      <w:r>
        <w:rPr>
          <w:rFonts w:hint="eastAsia"/>
          <w:b/>
          <w:bCs/>
          <w:color w:val="7030A0"/>
          <w:lang w:eastAsia="zh-CN"/>
        </w:rPr>
        <w:t>《关于进一步加强新时代中小学思政课建设的意见》</w:t>
      </w:r>
    </w:p>
    <w:p>
      <w:pPr>
        <w:pStyle w:val="4"/>
        <w:rPr>
          <w:rFonts w:hint="eastAsia"/>
          <w:lang w:eastAsia="zh-CN"/>
        </w:rPr>
      </w:pPr>
      <w:r>
        <w:rPr>
          <w:rFonts w:hint="eastAsia"/>
          <w:lang w:eastAsia="zh-CN"/>
        </w:rPr>
        <w:t>2022年11月12日电，《关于进一步加强新时代中小学思政课建设的意见》于日前发布。意见指出，“突出关键地位、强化统筹实施、坚持问题导向、深化改革创新”四项工作原则。到2025年，中小学思政课关键地位进一步强化、建设水平全面提高。思政课教师队伍专职化专业化水平明显提升，小学专职教师配备比例达到70%以上，初高中配齐专职教师。要推进大中小学思想政治教育一体化建设，充分发挥思政课关键课程作用。</w:t>
      </w:r>
    </w:p>
    <w:p>
      <w:pPr>
        <w:pStyle w:val="4"/>
        <w:rPr>
          <w:rFonts w:hint="default"/>
          <w:b/>
          <w:bCs/>
          <w:color w:val="7030A0"/>
          <w:lang w:val="en-US" w:eastAsia="zh-CN"/>
        </w:rPr>
      </w:pPr>
      <w:r>
        <w:rPr>
          <w:rFonts w:hint="eastAsia"/>
          <w:b/>
          <w:bCs/>
          <w:color w:val="7030A0"/>
          <w:lang w:val="en-US" w:eastAsia="zh-CN"/>
        </w:rPr>
        <w:t>10.习近平给中国航空工业集团沈飞“罗阳青年突击队”的队员们回信</w:t>
      </w:r>
    </w:p>
    <w:p>
      <w:pPr>
        <w:pStyle w:val="4"/>
        <w:rPr>
          <w:rFonts w:hint="eastAsia"/>
          <w:lang w:eastAsia="zh-CN"/>
        </w:rPr>
      </w:pPr>
      <w:r>
        <w:rPr>
          <w:rFonts w:hint="eastAsia"/>
          <w:lang w:eastAsia="zh-CN"/>
        </w:rPr>
        <w:t>2022年11月12日，习近平给</w:t>
      </w:r>
      <w:r>
        <w:rPr>
          <w:rFonts w:hint="eastAsia"/>
          <w:b/>
          <w:bCs/>
          <w:lang w:eastAsia="zh-CN"/>
        </w:rPr>
        <w:t>中国航空工业集团沈飞“罗阳青年突击队”的队员们回信</w:t>
      </w:r>
      <w:r>
        <w:rPr>
          <w:rFonts w:hint="eastAsia"/>
          <w:lang w:eastAsia="zh-CN"/>
        </w:rPr>
        <w:t>。习近平指出，希望你们继续</w:t>
      </w:r>
      <w:r>
        <w:rPr>
          <w:rFonts w:hint="eastAsia"/>
          <w:b/>
          <w:bCs/>
          <w:lang w:eastAsia="zh-CN"/>
        </w:rPr>
        <w:t>弘扬航空报国精神</w:t>
      </w:r>
      <w:r>
        <w:rPr>
          <w:rFonts w:hint="eastAsia"/>
          <w:lang w:eastAsia="zh-CN"/>
        </w:rPr>
        <w:t>，争做</w:t>
      </w:r>
      <w:r>
        <w:rPr>
          <w:rFonts w:hint="eastAsia"/>
          <w:b/>
          <w:bCs/>
          <w:lang w:eastAsia="zh-CN"/>
        </w:rPr>
        <w:t>有理想、敢担当、能吃苦、肯奋斗的新时代好青</w:t>
      </w:r>
      <w:r>
        <w:rPr>
          <w:rFonts w:hint="eastAsia"/>
          <w:lang w:eastAsia="zh-CN"/>
        </w:rPr>
        <w:t>年，为全面建设社会主义现代化国家、全面推进中华民族伟大复兴作出新贡献。</w:t>
      </w:r>
    </w:p>
    <w:p>
      <w:pPr>
        <w:pStyle w:val="8"/>
        <w:shd w:val="clear" w:fill="F1F1F1" w:themeFill="background1" w:themeFillShade="F2"/>
        <w:bidi w:val="0"/>
        <w:rPr>
          <w:rFonts w:hint="eastAsia"/>
          <w:lang w:eastAsia="zh-CN"/>
        </w:rPr>
      </w:pPr>
      <w:r>
        <w:rPr>
          <w:rFonts w:hint="eastAsia"/>
          <w:lang w:eastAsia="zh-CN"/>
        </w:rPr>
        <w:t>体育类</w:t>
      </w:r>
    </w:p>
    <w:p>
      <w:pPr>
        <w:pStyle w:val="4"/>
        <w:rPr>
          <w:rFonts w:hint="default"/>
          <w:b/>
          <w:bCs/>
          <w:color w:val="7030A0"/>
          <w:lang w:val="en-US" w:eastAsia="zh-CN"/>
        </w:rPr>
      </w:pPr>
      <w:r>
        <w:rPr>
          <w:rFonts w:hint="eastAsia"/>
          <w:b/>
          <w:bCs/>
          <w:color w:val="7030A0"/>
          <w:lang w:val="en-US" w:eastAsia="zh-CN"/>
        </w:rPr>
        <w:t>1.张伟丽</w:t>
      </w:r>
    </w:p>
    <w:p>
      <w:pPr>
        <w:pStyle w:val="4"/>
        <w:rPr>
          <w:rFonts w:hint="eastAsia"/>
          <w:lang w:eastAsia="zh-CN"/>
        </w:rPr>
      </w:pPr>
      <w:r>
        <w:rPr>
          <w:rFonts w:hint="eastAsia"/>
          <w:lang w:eastAsia="zh-CN"/>
        </w:rPr>
        <w:t>2022年11月13日，在美国</w:t>
      </w:r>
      <w:r>
        <w:rPr>
          <w:rFonts w:hint="eastAsia"/>
          <w:b/>
          <w:bCs/>
          <w:lang w:eastAsia="zh-CN"/>
        </w:rPr>
        <w:t>纽约麦迪逊花园广场</w:t>
      </w:r>
      <w:r>
        <w:rPr>
          <w:rFonts w:hint="eastAsia"/>
          <w:lang w:eastAsia="zh-CN"/>
        </w:rPr>
        <w:t>进行的</w:t>
      </w:r>
      <w:r>
        <w:rPr>
          <w:rFonts w:hint="eastAsia"/>
          <w:b/>
          <w:bCs/>
          <w:lang w:eastAsia="zh-CN"/>
        </w:rPr>
        <w:t>UFC281冠军赛</w:t>
      </w:r>
      <w:r>
        <w:rPr>
          <w:rFonts w:hint="eastAsia"/>
          <w:lang w:eastAsia="zh-CN"/>
        </w:rPr>
        <w:t>中，中国选手</w:t>
      </w:r>
      <w:r>
        <w:rPr>
          <w:rFonts w:hint="eastAsia"/>
          <w:b/>
          <w:bCs/>
          <w:lang w:eastAsia="zh-CN"/>
        </w:rPr>
        <w:t>张伟丽</w:t>
      </w:r>
      <w:r>
        <w:rPr>
          <w:rFonts w:hint="eastAsia"/>
          <w:lang w:eastAsia="zh-CN"/>
        </w:rPr>
        <w:t>击败卡拉·埃斯帕扎</w:t>
      </w:r>
      <w:r>
        <w:rPr>
          <w:rFonts w:hint="eastAsia"/>
          <w:b/>
          <w:bCs/>
          <w:lang w:eastAsia="zh-CN"/>
        </w:rPr>
        <w:t>重夺金腰带</w:t>
      </w:r>
      <w:r>
        <w:rPr>
          <w:rFonts w:hint="eastAsia"/>
          <w:lang w:eastAsia="zh-CN"/>
        </w:rPr>
        <w:t>，成为</w:t>
      </w:r>
      <w:r>
        <w:rPr>
          <w:rFonts w:hint="eastAsia"/>
          <w:b/>
          <w:bCs/>
          <w:lang w:eastAsia="zh-CN"/>
        </w:rPr>
        <w:t>第三位两度夺冠的UFC女子草量级冠军</w:t>
      </w:r>
      <w:r>
        <w:rPr>
          <w:rFonts w:hint="eastAsia"/>
          <w:lang w:eastAsia="zh-CN"/>
        </w:rPr>
        <w:t>。</w:t>
      </w:r>
    </w:p>
    <w:p>
      <w:pPr>
        <w:bidi w:val="0"/>
        <w:rPr>
          <w:rFonts w:hint="default"/>
          <w:b/>
          <w:bCs/>
          <w:color w:val="7030A0"/>
          <w:lang w:val="en-US" w:eastAsia="zh-CN"/>
        </w:rPr>
      </w:pPr>
      <w:r>
        <w:rPr>
          <w:rFonts w:hint="eastAsia"/>
          <w:b/>
          <w:bCs/>
          <w:color w:val="7030A0"/>
          <w:lang w:val="en-US" w:eastAsia="zh-CN"/>
        </w:rPr>
        <w:t>2.2022年卡塔尔世界杯</w:t>
      </w:r>
    </w:p>
    <w:p>
      <w:pPr>
        <w:bidi w:val="0"/>
        <w:rPr>
          <w:rFonts w:hint="eastAsia"/>
          <w:lang w:eastAsia="zh-CN"/>
        </w:rPr>
      </w:pPr>
      <w:r>
        <w:rPr>
          <w:rFonts w:hint="eastAsia"/>
          <w:lang w:eastAsia="zh-CN"/>
        </w:rPr>
        <w:t>2022年11月11日电，中央广播电视总台举行</w:t>
      </w:r>
      <w:r>
        <w:rPr>
          <w:rFonts w:hint="eastAsia"/>
          <w:b/>
          <w:bCs/>
          <w:lang w:eastAsia="zh-CN"/>
        </w:rPr>
        <w:t>2022年卡塔尔世界杯</w:t>
      </w:r>
      <w:r>
        <w:rPr>
          <w:rFonts w:hint="eastAsia"/>
          <w:lang w:eastAsia="zh-CN"/>
        </w:rPr>
        <w:t>前方报道团出征仪式。作为官方转播机构，此次总台前后方共投入近千人开展相关转播报道，</w:t>
      </w:r>
      <w:r>
        <w:rPr>
          <w:rFonts w:hint="eastAsia"/>
          <w:b/>
          <w:bCs/>
          <w:lang w:eastAsia="zh-CN"/>
        </w:rPr>
        <w:t>首次开展4K超高清世界杯转播报道</w:t>
      </w:r>
      <w:r>
        <w:rPr>
          <w:rFonts w:hint="eastAsia"/>
          <w:lang w:eastAsia="zh-CN"/>
        </w:rPr>
        <w:t>。</w:t>
      </w:r>
    </w:p>
    <w:p>
      <w:pPr>
        <w:pStyle w:val="4"/>
        <w:rPr>
          <w:rFonts w:hint="default"/>
          <w:b/>
          <w:bCs/>
          <w:color w:val="7030A0"/>
          <w:lang w:val="en-US" w:eastAsia="zh-CN"/>
        </w:rPr>
      </w:pPr>
      <w:r>
        <w:rPr>
          <w:rFonts w:hint="eastAsia"/>
          <w:b/>
          <w:bCs/>
          <w:color w:val="7030A0"/>
          <w:lang w:val="en-US" w:eastAsia="zh-CN"/>
        </w:rPr>
        <w:t>3.《户外运动产业发展规划(2022—2025年)》印发</w:t>
      </w:r>
    </w:p>
    <w:p>
      <w:pPr>
        <w:pStyle w:val="4"/>
        <w:rPr>
          <w:rFonts w:hint="eastAsia"/>
          <w:lang w:eastAsia="zh-CN"/>
        </w:rPr>
      </w:pPr>
      <w:r>
        <w:rPr>
          <w:rFonts w:hint="eastAsia"/>
          <w:lang w:eastAsia="zh-CN"/>
        </w:rPr>
        <w:t>2022年11月12日电，国家发展改革委日前公布了多部门联合印发</w:t>
      </w:r>
      <w:r>
        <w:rPr>
          <w:rFonts w:hint="eastAsia"/>
          <w:b/>
          <w:bCs/>
          <w:lang w:eastAsia="zh-CN"/>
        </w:rPr>
        <w:t>的《户外运动产业发展规划(2022—2025年)》</w:t>
      </w:r>
      <w:r>
        <w:rPr>
          <w:rFonts w:hint="eastAsia"/>
          <w:lang w:eastAsia="zh-CN"/>
        </w:rPr>
        <w:t>。截至2021年底，全国户外运动参与人数</w:t>
      </w:r>
      <w:r>
        <w:rPr>
          <w:rFonts w:hint="eastAsia"/>
          <w:b/>
          <w:bCs/>
          <w:lang w:eastAsia="zh-CN"/>
        </w:rPr>
        <w:t>已超过4亿人。《规划》提出，到2025年，</w:t>
      </w:r>
      <w:r>
        <w:rPr>
          <w:rFonts w:hint="eastAsia"/>
          <w:lang w:eastAsia="zh-CN"/>
        </w:rPr>
        <w:t>户外运动产业高质量发展成效显著，参与人数不断增长，</w:t>
      </w:r>
      <w:r>
        <w:rPr>
          <w:rFonts w:hint="eastAsia"/>
          <w:b/>
          <w:bCs/>
          <w:lang w:eastAsia="zh-CN"/>
        </w:rPr>
        <w:t>户外运动产业总规模超过3万亿元</w:t>
      </w:r>
      <w:r>
        <w:rPr>
          <w:rFonts w:hint="eastAsia"/>
          <w:lang w:eastAsia="zh-CN"/>
        </w:rPr>
        <w:t>。</w:t>
      </w:r>
    </w:p>
    <w:p>
      <w:pPr>
        <w:pStyle w:val="8"/>
        <w:shd w:val="clear" w:fill="F1F1F1" w:themeFill="background1" w:themeFillShade="F2"/>
        <w:bidi w:val="0"/>
        <w:rPr>
          <w:rFonts w:hint="eastAsia"/>
          <w:lang w:eastAsia="zh-CN"/>
        </w:rPr>
      </w:pPr>
      <w:r>
        <w:rPr>
          <w:rFonts w:hint="eastAsia"/>
          <w:lang w:eastAsia="zh-CN"/>
        </w:rPr>
        <w:t>医疗卫生类</w:t>
      </w:r>
    </w:p>
    <w:p>
      <w:pPr>
        <w:rPr>
          <w:rFonts w:hint="default"/>
          <w:b/>
          <w:bCs/>
          <w:color w:val="7030A0"/>
          <w:lang w:val="en-US" w:eastAsia="zh-CN"/>
        </w:rPr>
      </w:pPr>
      <w:r>
        <w:rPr>
          <w:rFonts w:hint="eastAsia"/>
          <w:b/>
          <w:bCs/>
          <w:color w:val="7030A0"/>
          <w:lang w:val="en-US" w:eastAsia="zh-CN"/>
        </w:rPr>
        <w:t>1.2022年国家医保药品目录调整</w:t>
      </w:r>
    </w:p>
    <w:p>
      <w:pPr>
        <w:rPr>
          <w:rFonts w:hint="eastAsia"/>
          <w:lang w:eastAsia="zh-CN"/>
        </w:rPr>
      </w:pPr>
      <w:r>
        <w:rPr>
          <w:rFonts w:hint="eastAsia"/>
          <w:lang w:eastAsia="zh-CN"/>
        </w:rPr>
        <w:t>2022年11月5日电，</w:t>
      </w:r>
      <w:r>
        <w:rPr>
          <w:rFonts w:hint="eastAsia"/>
          <w:b/>
          <w:bCs/>
          <w:lang w:eastAsia="zh-CN"/>
        </w:rPr>
        <w:t>2022年国家医保药品目录调整</w:t>
      </w:r>
      <w:r>
        <w:rPr>
          <w:rFonts w:hint="eastAsia"/>
          <w:lang w:eastAsia="zh-CN"/>
        </w:rPr>
        <w:t>，对</w:t>
      </w:r>
      <w:r>
        <w:rPr>
          <w:rFonts w:hint="eastAsia"/>
          <w:b/>
          <w:bCs/>
          <w:lang w:eastAsia="zh-CN"/>
        </w:rPr>
        <w:t>罕见病用药开通单独申报渠道</w:t>
      </w:r>
      <w:r>
        <w:rPr>
          <w:rFonts w:hint="eastAsia"/>
          <w:lang w:eastAsia="zh-CN"/>
        </w:rPr>
        <w:t>，支持其优先进入医保药品目录。截至目前，</w:t>
      </w:r>
      <w:r>
        <w:rPr>
          <w:rFonts w:hint="eastAsia"/>
          <w:b/>
          <w:bCs/>
          <w:lang w:eastAsia="zh-CN"/>
        </w:rPr>
        <w:t>已有45种罕见病用药被纳入国家医保药品目录，覆盖26种罕见病</w:t>
      </w:r>
      <w:r>
        <w:rPr>
          <w:rFonts w:hint="eastAsia"/>
          <w:lang w:eastAsia="zh-CN"/>
        </w:rPr>
        <w:t>。</w:t>
      </w:r>
    </w:p>
    <w:p>
      <w:pPr>
        <w:pStyle w:val="4"/>
        <w:rPr>
          <w:rFonts w:hint="default"/>
          <w:b/>
          <w:bCs/>
          <w:color w:val="7030A0"/>
          <w:lang w:val="en-US" w:eastAsia="zh-CN"/>
        </w:rPr>
      </w:pPr>
      <w:r>
        <w:rPr>
          <w:rFonts w:hint="eastAsia"/>
          <w:b/>
          <w:bCs/>
          <w:color w:val="7030A0"/>
          <w:lang w:val="en-US" w:eastAsia="zh-CN"/>
        </w:rPr>
        <w:t>2.《“十四五”中医药人才发展规划》</w:t>
      </w:r>
    </w:p>
    <w:p>
      <w:pPr>
        <w:pStyle w:val="4"/>
        <w:rPr>
          <w:rFonts w:hint="eastAsia"/>
          <w:lang w:eastAsia="zh-CN"/>
        </w:rPr>
      </w:pPr>
      <w:r>
        <w:rPr>
          <w:rFonts w:hint="eastAsia"/>
          <w:lang w:eastAsia="zh-CN"/>
        </w:rPr>
        <w:t>2022年11月5日电，国家中医药管理局日前发布</w:t>
      </w:r>
      <w:r>
        <w:rPr>
          <w:rFonts w:hint="eastAsia"/>
          <w:b/>
          <w:bCs/>
          <w:lang w:eastAsia="zh-CN"/>
        </w:rPr>
        <w:t>《“十四五”中医药人才发展规划》，</w:t>
      </w:r>
      <w:r>
        <w:rPr>
          <w:rFonts w:hint="eastAsia"/>
          <w:lang w:eastAsia="zh-CN"/>
        </w:rPr>
        <w:t>提出到2025年全国医疗卫生机构</w:t>
      </w:r>
      <w:r>
        <w:rPr>
          <w:rFonts w:hint="eastAsia"/>
          <w:b/>
          <w:bCs/>
          <w:lang w:eastAsia="zh-CN"/>
        </w:rPr>
        <w:t>中医药人员总数突破100万人</w:t>
      </w:r>
      <w:r>
        <w:rPr>
          <w:rFonts w:hint="eastAsia"/>
          <w:lang w:eastAsia="zh-CN"/>
        </w:rPr>
        <w:t>，实现</w:t>
      </w:r>
      <w:r>
        <w:rPr>
          <w:rFonts w:hint="eastAsia"/>
          <w:b/>
          <w:bCs/>
          <w:lang w:eastAsia="zh-CN"/>
        </w:rPr>
        <w:t>100%的社区卫生服务站</w:t>
      </w:r>
      <w:r>
        <w:rPr>
          <w:rFonts w:hint="eastAsia"/>
          <w:lang w:eastAsia="zh-CN"/>
        </w:rPr>
        <w:t>和</w:t>
      </w:r>
      <w:r>
        <w:rPr>
          <w:rFonts w:hint="eastAsia"/>
          <w:b/>
          <w:bCs/>
          <w:lang w:eastAsia="zh-CN"/>
        </w:rPr>
        <w:t>80%以上的村卫生室</w:t>
      </w:r>
      <w:r>
        <w:rPr>
          <w:rFonts w:hint="eastAsia"/>
          <w:lang w:eastAsia="zh-CN"/>
        </w:rPr>
        <w:t>能够</w:t>
      </w:r>
      <w:r>
        <w:rPr>
          <w:rFonts w:hint="eastAsia"/>
          <w:b/>
          <w:bCs/>
          <w:lang w:eastAsia="zh-CN"/>
        </w:rPr>
        <w:t>提供中医药服务</w:t>
      </w:r>
      <w:r>
        <w:rPr>
          <w:rFonts w:hint="eastAsia"/>
          <w:lang w:eastAsia="zh-CN"/>
        </w:rPr>
        <w:t>。</w:t>
      </w:r>
    </w:p>
    <w:p>
      <w:pPr>
        <w:pStyle w:val="4"/>
        <w:rPr>
          <w:rFonts w:hint="default"/>
          <w:b/>
          <w:bCs/>
          <w:color w:val="7030A0"/>
          <w:lang w:val="en-US" w:eastAsia="zh-CN"/>
        </w:rPr>
      </w:pPr>
      <w:r>
        <w:rPr>
          <w:rFonts w:hint="eastAsia"/>
          <w:b/>
          <w:bCs/>
          <w:color w:val="7030A0"/>
          <w:lang w:val="en-US" w:eastAsia="zh-CN"/>
        </w:rPr>
        <w:t>3.《“十四五”全民健康信息化规划》</w:t>
      </w:r>
    </w:p>
    <w:p>
      <w:pPr>
        <w:rPr>
          <w:rFonts w:hint="eastAsia"/>
          <w:highlight w:val="none"/>
          <w:lang w:eastAsia="zh-CN"/>
        </w:rPr>
      </w:pPr>
      <w:r>
        <w:rPr>
          <w:rFonts w:hint="eastAsia" w:eastAsia="宋体"/>
          <w:highlight w:val="none"/>
          <w:lang w:eastAsia="zh-CN"/>
        </w:rPr>
        <w:t>2022年11月11日电，三部门近日印发</w:t>
      </w:r>
      <w:r>
        <w:rPr>
          <w:rFonts w:hint="eastAsia" w:eastAsia="宋体"/>
          <w:b/>
          <w:bCs/>
          <w:highlight w:val="none"/>
          <w:lang w:eastAsia="zh-CN"/>
        </w:rPr>
        <w:t>《“十四五”全民健康信息化规划》</w:t>
      </w:r>
      <w:r>
        <w:rPr>
          <w:rFonts w:hint="eastAsia" w:eastAsia="宋体"/>
          <w:highlight w:val="none"/>
          <w:lang w:eastAsia="zh-CN"/>
        </w:rPr>
        <w:t>。</w:t>
      </w:r>
      <w:r>
        <w:rPr>
          <w:rFonts w:hint="eastAsia" w:eastAsia="宋体"/>
          <w:b/>
          <w:bCs/>
          <w:highlight w:val="none"/>
          <w:lang w:eastAsia="zh-CN"/>
        </w:rPr>
        <w:t>到2025年</w:t>
      </w:r>
      <w:r>
        <w:rPr>
          <w:rFonts w:hint="eastAsia" w:eastAsia="宋体"/>
          <w:highlight w:val="none"/>
          <w:lang w:eastAsia="zh-CN"/>
        </w:rPr>
        <w:t>，我国将初步建设形成统一权威、互联互通的全民健康信息平台支撑保障体系，基本实现公立医疗卫生机构与全民健康信息平台联通全覆盖。</w:t>
      </w:r>
      <w:r>
        <w:rPr>
          <w:rFonts w:hint="eastAsia" w:eastAsia="宋体"/>
          <w:b/>
          <w:bCs/>
          <w:highlight w:val="none"/>
          <w:lang w:eastAsia="zh-CN"/>
        </w:rPr>
        <w:t>每个居民拥有一份动态管理的电子健康档案和一个功能完备的电子健康码。</w:t>
      </w:r>
    </w:p>
    <w:p>
      <w:pPr>
        <w:pStyle w:val="4"/>
        <w:rPr>
          <w:rFonts w:hint="default"/>
          <w:b/>
          <w:bCs/>
          <w:color w:val="7030A0"/>
          <w:highlight w:val="none"/>
          <w:lang w:val="en-US" w:eastAsia="zh-CN"/>
        </w:rPr>
      </w:pPr>
      <w:r>
        <w:rPr>
          <w:rFonts w:hint="eastAsia"/>
          <w:b/>
          <w:bCs/>
          <w:color w:val="7030A0"/>
          <w:highlight w:val="none"/>
          <w:lang w:val="en-US" w:eastAsia="zh-CN"/>
        </w:rPr>
        <w:t>4.《关于进一步优化新冠肺炎疫情防控措施 科学精准做好防控工作的通知》</w:t>
      </w:r>
    </w:p>
    <w:p>
      <w:pPr>
        <w:pStyle w:val="4"/>
        <w:rPr>
          <w:rFonts w:hint="eastAsia"/>
          <w:highlight w:val="none"/>
          <w:lang w:eastAsia="zh-CN"/>
        </w:rPr>
      </w:pPr>
      <w:r>
        <w:rPr>
          <w:rFonts w:hint="eastAsia"/>
          <w:highlight w:val="none"/>
          <w:lang w:eastAsia="zh-CN"/>
        </w:rPr>
        <w:t>2022年11月11日，国务院联防联控机制综合组发布</w:t>
      </w:r>
      <w:r>
        <w:rPr>
          <w:rFonts w:hint="eastAsia"/>
          <w:b/>
          <w:bCs/>
          <w:highlight w:val="none"/>
          <w:lang w:eastAsia="zh-CN"/>
        </w:rPr>
        <w:t>《关于进一步优化新冠肺炎疫情防控措施 科学精准做好防控工作的通知》</w:t>
      </w:r>
      <w:r>
        <w:rPr>
          <w:rFonts w:hint="eastAsia"/>
          <w:highlight w:val="none"/>
          <w:lang w:eastAsia="zh-CN"/>
        </w:rPr>
        <w:t>。党中央对进一步优化防控工作的二十条措施作出重要部署、提出明确要求，各地各部门要不折不扣把各项优化措施落实到位。</w:t>
      </w:r>
    </w:p>
    <w:p>
      <w:pPr>
        <w:pStyle w:val="8"/>
        <w:shd w:val="clear" w:fill="F1F1F1" w:themeFill="background1" w:themeFillShade="F2"/>
        <w:bidi w:val="0"/>
        <w:rPr>
          <w:rFonts w:hint="eastAsia"/>
          <w:lang w:eastAsia="zh-CN"/>
        </w:rPr>
      </w:pPr>
      <w:r>
        <w:rPr>
          <w:rFonts w:hint="eastAsia"/>
          <w:lang w:eastAsia="zh-CN"/>
        </w:rPr>
        <w:t>日期类</w:t>
      </w:r>
    </w:p>
    <w:p>
      <w:pPr>
        <w:rPr>
          <w:rFonts w:hint="default"/>
          <w:b/>
          <w:bCs/>
          <w:color w:val="7030A0"/>
          <w:lang w:val="en-US" w:eastAsia="zh-CN"/>
        </w:rPr>
      </w:pPr>
      <w:r>
        <w:rPr>
          <w:rFonts w:hint="eastAsia"/>
          <w:b/>
          <w:bCs/>
          <w:color w:val="7030A0"/>
          <w:lang w:val="en-US" w:eastAsia="zh-CN"/>
        </w:rPr>
        <w:t>1.“世界城市日”</w:t>
      </w:r>
    </w:p>
    <w:p>
      <w:pPr>
        <w:rPr>
          <w:rFonts w:hint="eastAsia"/>
          <w:lang w:eastAsia="zh-CN"/>
        </w:rPr>
      </w:pPr>
      <w:r>
        <w:rPr>
          <w:rFonts w:hint="eastAsia"/>
          <w:lang w:eastAsia="zh-CN"/>
        </w:rPr>
        <w:t>2022年10月31日是“世界城市日”。今年世界城市日主题为</w:t>
      </w:r>
      <w:r>
        <w:rPr>
          <w:rFonts w:hint="eastAsia"/>
          <w:b/>
          <w:bCs/>
          <w:lang w:eastAsia="zh-CN"/>
        </w:rPr>
        <w:t>“行动，从地方走向全球”</w:t>
      </w:r>
      <w:r>
        <w:rPr>
          <w:rFonts w:hint="eastAsia"/>
          <w:lang w:eastAsia="zh-CN"/>
        </w:rPr>
        <w:t>。“世界城市日”是</w:t>
      </w:r>
      <w:r>
        <w:rPr>
          <w:rFonts w:hint="eastAsia"/>
          <w:b/>
          <w:bCs/>
          <w:lang w:eastAsia="zh-CN"/>
        </w:rPr>
        <w:t>联合国设立的首个以城市为主题的国际日</w:t>
      </w:r>
      <w:r>
        <w:rPr>
          <w:rFonts w:hint="eastAsia"/>
          <w:lang w:eastAsia="zh-CN"/>
        </w:rPr>
        <w:t>，也</w:t>
      </w:r>
      <w:r>
        <w:rPr>
          <w:rFonts w:hint="eastAsia"/>
          <w:b/>
          <w:bCs/>
          <w:lang w:eastAsia="zh-CN"/>
        </w:rPr>
        <w:t>是中国政府在联合国推动设立的首个国际日</w:t>
      </w:r>
      <w:r>
        <w:rPr>
          <w:rFonts w:hint="eastAsia"/>
          <w:lang w:eastAsia="zh-CN"/>
        </w:rPr>
        <w:t>。2014年，</w:t>
      </w:r>
      <w:r>
        <w:rPr>
          <w:rFonts w:hint="eastAsia"/>
          <w:b/>
          <w:bCs/>
          <w:lang w:eastAsia="zh-CN"/>
        </w:rPr>
        <w:t>首届世界城市日全球启动仪式在上海举办</w:t>
      </w:r>
      <w:r>
        <w:rPr>
          <w:rFonts w:hint="eastAsia"/>
          <w:lang w:eastAsia="zh-CN"/>
        </w:rPr>
        <w:t>。</w:t>
      </w:r>
    </w:p>
    <w:p>
      <w:pPr>
        <w:bidi w:val="0"/>
        <w:rPr>
          <w:rFonts w:hint="default"/>
          <w:b/>
          <w:bCs/>
          <w:color w:val="7030A0"/>
          <w:lang w:val="en-US" w:eastAsia="zh-CN"/>
        </w:rPr>
      </w:pPr>
      <w:r>
        <w:rPr>
          <w:rFonts w:hint="eastAsia"/>
          <w:b/>
          <w:bCs/>
          <w:color w:val="7030A0"/>
          <w:lang w:val="en-US" w:eastAsia="zh-CN"/>
        </w:rPr>
        <w:t>2.人民空军成立纪念日</w:t>
      </w:r>
    </w:p>
    <w:p>
      <w:pPr>
        <w:bidi w:val="0"/>
        <w:rPr>
          <w:rFonts w:hint="eastAsia"/>
          <w:lang w:eastAsia="zh-CN"/>
        </w:rPr>
      </w:pPr>
      <w:r>
        <w:rPr>
          <w:rFonts w:hint="eastAsia"/>
          <w:lang w:eastAsia="zh-CN"/>
        </w:rPr>
        <w:t>2022年11月11日是人民空军成立</w:t>
      </w:r>
      <w:r>
        <w:rPr>
          <w:rFonts w:hint="eastAsia"/>
          <w:b/>
          <w:bCs/>
          <w:lang w:eastAsia="zh-CN"/>
        </w:rPr>
        <w:t>73周年</w:t>
      </w:r>
      <w:r>
        <w:rPr>
          <w:rFonts w:hint="eastAsia"/>
          <w:lang w:eastAsia="zh-CN"/>
        </w:rPr>
        <w:t>纪念日。</w:t>
      </w:r>
    </w:p>
    <w:p>
      <w:pPr>
        <w:pStyle w:val="8"/>
        <w:bidi w:val="0"/>
        <w:rPr>
          <w:rFonts w:hint="eastAsia"/>
          <w:color w:val="FFFFFF" w:themeColor="background1"/>
          <w:highlight w:val="none"/>
          <w:lang w:eastAsia="zh-CN"/>
          <w14:textFill>
            <w14:solidFill>
              <w14:schemeClr w14:val="bg1"/>
            </w14:solidFill>
          </w14:textFill>
        </w:rPr>
      </w:pPr>
      <w:r>
        <w:rPr>
          <w:rFonts w:hint="eastAsia"/>
          <w:color w:val="FFFFFF" w:themeColor="background1"/>
          <w:highlight w:val="none"/>
          <w:lang w:eastAsia="zh-CN"/>
          <w14:textFill>
            <w14:solidFill>
              <w14:schemeClr w14:val="bg1"/>
            </w14:solidFill>
          </w14:textFill>
        </w:rPr>
        <w:t>港澳台相关</w:t>
      </w:r>
    </w:p>
    <w:p>
      <w:pPr>
        <w:pStyle w:val="8"/>
        <w:shd w:val="clear" w:fill="F1F1F1" w:themeFill="background1" w:themeFillShade="F2"/>
        <w:bidi w:val="0"/>
        <w:rPr>
          <w:rFonts w:hint="eastAsia"/>
          <w:lang w:eastAsia="zh-CN"/>
        </w:rPr>
      </w:pPr>
      <w:r>
        <w:rPr>
          <w:rFonts w:hint="eastAsia"/>
          <w:lang w:eastAsia="zh-CN"/>
        </w:rPr>
        <w:t>国际会议</w:t>
      </w:r>
    </w:p>
    <w:p>
      <w:pPr>
        <w:rPr>
          <w:rFonts w:hint="eastAsia"/>
          <w:lang w:eastAsia="zh-CN"/>
        </w:rPr>
      </w:pPr>
      <w:r>
        <w:rPr>
          <w:rFonts w:hint="eastAsia"/>
          <w:lang w:eastAsia="zh-CN"/>
        </w:rPr>
        <w:t>2022年10月31日，习近平在北京人民大会堂同越共中央总书记阮富仲举行会谈。双方一致表示，要秉持“十六字”方针和“四好”精神，巩固传统友谊、加强战略沟通、增进政治互信、妥善管控分歧，推动新时代中越全面战略合作伙伴关系不断迈上新台阶。习近平强调，中方重视越南在东盟中的地位和作用，期待同越方携手加快和平、安宁、繁荣、美丽、友好“五大家园”建设，推进东亚区域经济一体化。</w:t>
      </w:r>
    </w:p>
    <w:p>
      <w:pPr>
        <w:rPr>
          <w:rFonts w:hint="eastAsia"/>
          <w:lang w:eastAsia="zh-CN"/>
        </w:rPr>
      </w:pPr>
      <w:r>
        <w:rPr>
          <w:rFonts w:hint="eastAsia"/>
          <w:lang w:eastAsia="zh-CN"/>
        </w:rPr>
        <w:t>2022年10月31日，习近平在北京人民大会堂向越共中央总书记阮富仲授予中华人民共和国“友谊勋章”，并举行隆重颁授仪式。</w:t>
      </w:r>
    </w:p>
    <w:p>
      <w:pPr>
        <w:pStyle w:val="4"/>
        <w:rPr>
          <w:rFonts w:hint="eastAsia"/>
          <w:lang w:eastAsia="zh-CN"/>
        </w:rPr>
      </w:pPr>
      <w:r>
        <w:rPr>
          <w:rFonts w:hint="eastAsia"/>
          <w:lang w:eastAsia="zh-CN"/>
        </w:rPr>
        <w:t>2022年11月4日，第五届中国国际进口博览会暨虹桥国际经济论坛开幕式在上海举行，习近平发表视频致辞。</w:t>
      </w:r>
    </w:p>
    <w:p>
      <w:pPr>
        <w:pStyle w:val="4"/>
        <w:rPr>
          <w:rFonts w:hint="eastAsia"/>
          <w:lang w:eastAsia="zh-CN"/>
        </w:rPr>
      </w:pPr>
      <w:r>
        <w:rPr>
          <w:rFonts w:hint="eastAsia"/>
          <w:lang w:eastAsia="zh-CN"/>
        </w:rPr>
        <w:t>2022年11月3日，为期两天的“2022年海洋合作与治理论坛”在海南三亚开幕。与会代表围绕“多边主义下的全球海洋治理”“气候变化与海洋合作”“《南海各方行为宣言》20周年与南海区域秩序构建”“《联合国海洋法公约》40周年与闭海或半闭海沿岸国合作”等议题进行广泛探讨和深入交流。</w:t>
      </w:r>
    </w:p>
    <w:p>
      <w:pPr>
        <w:rPr>
          <w:rFonts w:hint="eastAsia"/>
          <w:lang w:eastAsia="zh-CN"/>
        </w:rPr>
      </w:pPr>
      <w:r>
        <w:rPr>
          <w:rFonts w:hint="eastAsia" w:eastAsia="宋体"/>
          <w:lang w:eastAsia="zh-CN"/>
        </w:rPr>
        <w:t>2022年11月7日，</w:t>
      </w:r>
      <w:r>
        <w:rPr>
          <w:rFonts w:hint="eastAsia" w:eastAsia="宋体"/>
          <w:b/>
          <w:bCs/>
          <w:lang w:eastAsia="zh-CN"/>
        </w:rPr>
        <w:t>国际竹藤组织成立二十五周年</w:t>
      </w:r>
      <w:r>
        <w:rPr>
          <w:rFonts w:hint="eastAsia" w:eastAsia="宋体"/>
          <w:lang w:eastAsia="zh-CN"/>
        </w:rPr>
        <w:t>志庆暨</w:t>
      </w:r>
      <w:r>
        <w:rPr>
          <w:rFonts w:hint="eastAsia" w:eastAsia="宋体"/>
          <w:b/>
          <w:bCs/>
          <w:lang w:eastAsia="zh-CN"/>
        </w:rPr>
        <w:t>第二届世界竹藤大会</w:t>
      </w:r>
      <w:r>
        <w:rPr>
          <w:rFonts w:hint="eastAsia" w:eastAsia="宋体"/>
          <w:lang w:eastAsia="zh-CN"/>
        </w:rPr>
        <w:t>在</w:t>
      </w:r>
      <w:r>
        <w:rPr>
          <w:rFonts w:hint="eastAsia" w:eastAsia="宋体"/>
          <w:b/>
          <w:bCs/>
          <w:lang w:eastAsia="zh-CN"/>
        </w:rPr>
        <w:t>北京</w:t>
      </w:r>
      <w:r>
        <w:rPr>
          <w:rFonts w:hint="eastAsia" w:eastAsia="宋体"/>
          <w:lang w:eastAsia="zh-CN"/>
        </w:rPr>
        <w:t>开幕，大会</w:t>
      </w:r>
      <w:r>
        <w:rPr>
          <w:rFonts w:hint="eastAsia" w:eastAsia="宋体"/>
          <w:b/>
          <w:bCs/>
          <w:lang w:eastAsia="zh-CN"/>
        </w:rPr>
        <w:t>主题为“竹藤——基于自然的可持续发展解决方案”</w:t>
      </w:r>
      <w:r>
        <w:rPr>
          <w:rFonts w:hint="eastAsia" w:eastAsia="宋体"/>
          <w:lang w:eastAsia="zh-CN"/>
        </w:rPr>
        <w:t>。习近平指出，中国政府同国际竹藤组织携手落实全球发展倡议，共同发起</w:t>
      </w:r>
      <w:r>
        <w:rPr>
          <w:rFonts w:hint="eastAsia" w:eastAsia="宋体"/>
          <w:b/>
          <w:bCs/>
          <w:lang w:eastAsia="zh-CN"/>
        </w:rPr>
        <w:t>“以竹代塑”倡议</w:t>
      </w:r>
      <w:r>
        <w:rPr>
          <w:rFonts w:hint="eastAsia" w:eastAsia="宋体"/>
          <w:lang w:eastAsia="zh-CN"/>
        </w:rPr>
        <w:t>，推动各国减少塑料污染，应对气候变化，加快落实联合国2030年可持续发展议程。</w:t>
      </w:r>
    </w:p>
    <w:p>
      <w:pPr>
        <w:bidi w:val="0"/>
        <w:rPr>
          <w:rFonts w:hint="eastAsia"/>
          <w:lang w:eastAsia="zh-CN"/>
        </w:rPr>
      </w:pPr>
      <w:r>
        <w:rPr>
          <w:rFonts w:hint="eastAsia" w:eastAsia="宋体"/>
          <w:lang w:eastAsia="zh-CN"/>
        </w:rPr>
        <w:t>2022年11月8日，</w:t>
      </w:r>
      <w:r>
        <w:rPr>
          <w:rFonts w:hint="eastAsia" w:eastAsia="宋体"/>
          <w:b/>
          <w:bCs/>
          <w:i w:val="0"/>
          <w:iCs w:val="0"/>
          <w:lang w:eastAsia="zh-CN"/>
        </w:rPr>
        <w:t>2022年世界互联网大会“互联网之光”</w:t>
      </w:r>
      <w:r>
        <w:rPr>
          <w:rFonts w:hint="eastAsia" w:eastAsia="宋体"/>
          <w:lang w:eastAsia="zh-CN"/>
        </w:rPr>
        <w:t>博览会在</w:t>
      </w:r>
      <w:r>
        <w:rPr>
          <w:rFonts w:hint="eastAsia" w:eastAsia="宋体"/>
          <w:b/>
          <w:bCs/>
          <w:lang w:eastAsia="zh-CN"/>
        </w:rPr>
        <w:t>浙江乌镇</w:t>
      </w:r>
      <w:r>
        <w:rPr>
          <w:rFonts w:hint="eastAsia" w:eastAsia="宋体"/>
          <w:lang w:eastAsia="zh-CN"/>
        </w:rPr>
        <w:t>开幕。本次博览会有40个国家和地区的415家企业和机构参展。</w:t>
      </w:r>
    </w:p>
    <w:p>
      <w:pPr>
        <w:pStyle w:val="8"/>
        <w:bidi w:val="0"/>
        <w:rPr>
          <w:rFonts w:hint="eastAsia"/>
          <w:color w:val="FFFFFF" w:themeColor="background1"/>
          <w:lang w:eastAsia="zh-CN"/>
          <w14:textFill>
            <w14:solidFill>
              <w14:schemeClr w14:val="bg1"/>
            </w14:solidFill>
          </w14:textFill>
        </w:rPr>
      </w:pPr>
      <w:r>
        <mc:AlternateContent>
          <mc:Choice Requires="wpg">
            <w:drawing>
              <wp:anchor distT="0" distB="0" distL="114300" distR="114300" simplePos="0" relativeHeight="251660288" behindDoc="0" locked="0" layoutInCell="1" allowOverlap="1">
                <wp:simplePos x="0" y="0"/>
                <wp:positionH relativeFrom="column">
                  <wp:posOffset>2002155</wp:posOffset>
                </wp:positionH>
                <wp:positionV relativeFrom="paragraph">
                  <wp:posOffset>26035</wp:posOffset>
                </wp:positionV>
                <wp:extent cx="1469390" cy="627380"/>
                <wp:effectExtent l="0" t="0" r="16510" b="0"/>
                <wp:wrapNone/>
                <wp:docPr id="2" name="组合 2" descr="7b0a202020202274657874626f78223a20227b5c2269645c223a32303334333734372c5c2263617465676f72795f69645c223a5c225c227d220a7d0a"/>
                <wp:cNvGraphicFramePr>
                  <a:extLst xmlns:a="http://schemas.openxmlformats.org/drawingml/2006/main">
                    <a:ext uri="{7FBC4E63-A832-4D11-8238-D91031DB1400}">
                      <s:tag xmlns="http://www.wps.cn/officeDocument/2013/wpsCustomData" xmlns:s="http://www.wps.cn/officeDocument/2013/wpsCustomData">
                        <s:item s:name="KSO_DOCER_RESOURCE_TRACE_INFO" s:val="{&quot;id&quot;:&quot;20343747&quot;,&quot;origin&quot;:0,&quot;type&quot;:&quot;textbox&quot;,&quot;user&quot;:&quot;238201592&quot;}"/>
                      </s:tag>
                    </a:ext>
                  </a:extLst>
                </wp:cNvGraphicFramePr>
                <a:graphic xmlns:a="http://schemas.openxmlformats.org/drawingml/2006/main">
                  <a:graphicData uri="http://schemas.microsoft.com/office/word/2010/wordprocessingGroup">
                    <wpg:wgp>
                      <wpg:cNvGrpSpPr/>
                      <wpg:grpSpPr>
                        <a:xfrm>
                          <a:off x="0" y="0"/>
                          <a:ext cx="1469390" cy="627380"/>
                          <a:chOff x="5718" y="1723"/>
                          <a:chExt cx="8436" cy="4283"/>
                        </a:xfrm>
                      </wpg:grpSpPr>
                      <wpg:grpSp>
                        <wpg:cNvPr id="3" name="组合 1173"/>
                        <wpg:cNvGrpSpPr/>
                        <wpg:grpSpPr>
                          <a:xfrm rot="0">
                            <a:off x="5718" y="1723"/>
                            <a:ext cx="8436" cy="3539"/>
                            <a:chOff x="3354388" y="2274888"/>
                            <a:chExt cx="5478463" cy="2298700"/>
                          </a:xfrm>
                          <a:gradFill>
                            <a:gsLst>
                              <a:gs pos="0">
                                <a:srgbClr val="4B62D6"/>
                              </a:gs>
                              <a:gs pos="100000">
                                <a:srgbClr val="00B0F0"/>
                              </a:gs>
                            </a:gsLst>
                            <a:lin ang="11400000" scaled="0"/>
                          </a:gradFill>
                        </wpg:grpSpPr>
                        <wps:wsp>
                          <wps:cNvPr id="5" name="Freeform 155"/>
                          <wps:cNvSpPr>
                            <a:spLocks noEditPoints="1"/>
                          </wps:cNvSpPr>
                          <wps:spPr bwMode="auto">
                            <a:xfrm>
                              <a:off x="4019551" y="4378325"/>
                              <a:ext cx="103188" cy="101600"/>
                            </a:xfrm>
                            <a:custGeom>
                              <a:avLst/>
                              <a:gdLst>
                                <a:gd name="T0" fmla="*/ 12 w 24"/>
                                <a:gd name="T1" fmla="*/ 24 h 24"/>
                                <a:gd name="T2" fmla="*/ 0 w 24"/>
                                <a:gd name="T3" fmla="*/ 12 h 24"/>
                                <a:gd name="T4" fmla="*/ 12 w 24"/>
                                <a:gd name="T5" fmla="*/ 0 h 24"/>
                                <a:gd name="T6" fmla="*/ 24 w 24"/>
                                <a:gd name="T7" fmla="*/ 12 h 24"/>
                                <a:gd name="T8" fmla="*/ 12 w 24"/>
                                <a:gd name="T9" fmla="*/ 24 h 24"/>
                                <a:gd name="T10" fmla="*/ 12 w 24"/>
                                <a:gd name="T11" fmla="*/ 5 h 24"/>
                                <a:gd name="T12" fmla="*/ 4 w 24"/>
                                <a:gd name="T13" fmla="*/ 12 h 24"/>
                                <a:gd name="T14" fmla="*/ 12 w 24"/>
                                <a:gd name="T15" fmla="*/ 20 h 24"/>
                                <a:gd name="T16" fmla="*/ 19 w 24"/>
                                <a:gd name="T17" fmla="*/ 12 h 24"/>
                                <a:gd name="T18" fmla="*/ 12 w 24"/>
                                <a:gd name="T19" fmla="*/ 5 h 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4" h="24">
                                  <a:moveTo>
                                    <a:pt x="12" y="24"/>
                                  </a:moveTo>
                                  <a:cubicBezTo>
                                    <a:pt x="5" y="24"/>
                                    <a:pt x="0" y="19"/>
                                    <a:pt x="0" y="12"/>
                                  </a:cubicBezTo>
                                  <a:cubicBezTo>
                                    <a:pt x="0" y="6"/>
                                    <a:pt x="5" y="0"/>
                                    <a:pt x="12" y="0"/>
                                  </a:cubicBezTo>
                                  <a:cubicBezTo>
                                    <a:pt x="19" y="0"/>
                                    <a:pt x="24" y="6"/>
                                    <a:pt x="24" y="12"/>
                                  </a:cubicBezTo>
                                  <a:cubicBezTo>
                                    <a:pt x="24" y="19"/>
                                    <a:pt x="19" y="24"/>
                                    <a:pt x="12" y="24"/>
                                  </a:cubicBezTo>
                                  <a:close/>
                                  <a:moveTo>
                                    <a:pt x="12" y="5"/>
                                  </a:moveTo>
                                  <a:cubicBezTo>
                                    <a:pt x="8" y="5"/>
                                    <a:pt x="4" y="8"/>
                                    <a:pt x="4" y="12"/>
                                  </a:cubicBezTo>
                                  <a:cubicBezTo>
                                    <a:pt x="4" y="16"/>
                                    <a:pt x="8" y="20"/>
                                    <a:pt x="12" y="20"/>
                                  </a:cubicBezTo>
                                  <a:cubicBezTo>
                                    <a:pt x="16" y="20"/>
                                    <a:pt x="19" y="16"/>
                                    <a:pt x="19" y="12"/>
                                  </a:cubicBezTo>
                                  <a:cubicBezTo>
                                    <a:pt x="19" y="8"/>
                                    <a:pt x="16" y="5"/>
                                    <a:pt x="12" y="5"/>
                                  </a:cubicBezTo>
                                  <a:close/>
                                </a:path>
                              </a:pathLst>
                            </a:custGeom>
                            <a:grpFill/>
                            <a:ln>
                              <a:noFill/>
                            </a:ln>
                          </wps:spPr>
                          <wps:bodyPr/>
                        </wps:wsp>
                        <wps:wsp>
                          <wps:cNvPr id="9" name="Freeform 156"/>
                          <wps:cNvSpPr>
                            <a:spLocks noEditPoints="1"/>
                          </wps:cNvSpPr>
                          <wps:spPr bwMode="auto">
                            <a:xfrm>
                              <a:off x="8637588" y="2628900"/>
                              <a:ext cx="106363" cy="106363"/>
                            </a:xfrm>
                            <a:custGeom>
                              <a:avLst/>
                              <a:gdLst>
                                <a:gd name="T0" fmla="*/ 13 w 25"/>
                                <a:gd name="T1" fmla="*/ 25 h 25"/>
                                <a:gd name="T2" fmla="*/ 0 w 25"/>
                                <a:gd name="T3" fmla="*/ 12 h 25"/>
                                <a:gd name="T4" fmla="*/ 13 w 25"/>
                                <a:gd name="T5" fmla="*/ 0 h 25"/>
                                <a:gd name="T6" fmla="*/ 25 w 25"/>
                                <a:gd name="T7" fmla="*/ 12 h 25"/>
                                <a:gd name="T8" fmla="*/ 13 w 25"/>
                                <a:gd name="T9" fmla="*/ 25 h 25"/>
                                <a:gd name="T10" fmla="*/ 13 w 25"/>
                                <a:gd name="T11" fmla="*/ 5 h 25"/>
                                <a:gd name="T12" fmla="*/ 5 w 25"/>
                                <a:gd name="T13" fmla="*/ 12 h 25"/>
                                <a:gd name="T14" fmla="*/ 13 w 25"/>
                                <a:gd name="T15" fmla="*/ 20 h 25"/>
                                <a:gd name="T16" fmla="*/ 20 w 25"/>
                                <a:gd name="T17" fmla="*/ 12 h 25"/>
                                <a:gd name="T18" fmla="*/ 13 w 25"/>
                                <a:gd name="T19" fmla="*/ 5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5" h="25">
                                  <a:moveTo>
                                    <a:pt x="13" y="25"/>
                                  </a:moveTo>
                                  <a:cubicBezTo>
                                    <a:pt x="6" y="25"/>
                                    <a:pt x="0" y="19"/>
                                    <a:pt x="0" y="12"/>
                                  </a:cubicBezTo>
                                  <a:cubicBezTo>
                                    <a:pt x="0" y="6"/>
                                    <a:pt x="6" y="0"/>
                                    <a:pt x="13" y="0"/>
                                  </a:cubicBezTo>
                                  <a:cubicBezTo>
                                    <a:pt x="19" y="0"/>
                                    <a:pt x="25" y="6"/>
                                    <a:pt x="25" y="12"/>
                                  </a:cubicBezTo>
                                  <a:cubicBezTo>
                                    <a:pt x="25" y="19"/>
                                    <a:pt x="19" y="25"/>
                                    <a:pt x="13" y="25"/>
                                  </a:cubicBezTo>
                                  <a:close/>
                                  <a:moveTo>
                                    <a:pt x="13" y="5"/>
                                  </a:moveTo>
                                  <a:cubicBezTo>
                                    <a:pt x="8" y="5"/>
                                    <a:pt x="5" y="8"/>
                                    <a:pt x="5" y="12"/>
                                  </a:cubicBezTo>
                                  <a:cubicBezTo>
                                    <a:pt x="5" y="17"/>
                                    <a:pt x="8" y="20"/>
                                    <a:pt x="13" y="20"/>
                                  </a:cubicBezTo>
                                  <a:cubicBezTo>
                                    <a:pt x="17" y="20"/>
                                    <a:pt x="20" y="17"/>
                                    <a:pt x="20" y="12"/>
                                  </a:cubicBezTo>
                                  <a:cubicBezTo>
                                    <a:pt x="20" y="8"/>
                                    <a:pt x="17" y="5"/>
                                    <a:pt x="13" y="5"/>
                                  </a:cubicBezTo>
                                  <a:close/>
                                </a:path>
                              </a:pathLst>
                            </a:custGeom>
                            <a:grpFill/>
                            <a:ln>
                              <a:noFill/>
                            </a:ln>
                          </wps:spPr>
                          <wps:bodyPr/>
                        </wps:wsp>
                        <wps:wsp>
                          <wps:cNvPr id="10" name="Freeform 157"/>
                          <wps:cNvSpPr>
                            <a:spLocks noEditPoints="1"/>
                          </wps:cNvSpPr>
                          <wps:spPr bwMode="auto">
                            <a:xfrm>
                              <a:off x="3481388" y="2479675"/>
                              <a:ext cx="5351463" cy="2093913"/>
                            </a:xfrm>
                            <a:custGeom>
                              <a:avLst/>
                              <a:gdLst>
                                <a:gd name="T0" fmla="*/ 3371 w 3371"/>
                                <a:gd name="T1" fmla="*/ 1319 h 1319"/>
                                <a:gd name="T2" fmla="*/ 0 w 3371"/>
                                <a:gd name="T3" fmla="*/ 1319 h 1319"/>
                                <a:gd name="T4" fmla="*/ 0 w 3371"/>
                                <a:gd name="T5" fmla="*/ 0 h 1319"/>
                                <a:gd name="T6" fmla="*/ 3371 w 3371"/>
                                <a:gd name="T7" fmla="*/ 0 h 1319"/>
                                <a:gd name="T8" fmla="*/ 3371 w 3371"/>
                                <a:gd name="T9" fmla="*/ 1319 h 1319"/>
                                <a:gd name="T10" fmla="*/ 22 w 3371"/>
                                <a:gd name="T11" fmla="*/ 1298 h 1319"/>
                                <a:gd name="T12" fmla="*/ 3350 w 3371"/>
                                <a:gd name="T13" fmla="*/ 1298 h 1319"/>
                                <a:gd name="T14" fmla="*/ 3350 w 3371"/>
                                <a:gd name="T15" fmla="*/ 22 h 1319"/>
                                <a:gd name="T16" fmla="*/ 22 w 3371"/>
                                <a:gd name="T17" fmla="*/ 22 h 1319"/>
                                <a:gd name="T18" fmla="*/ 22 w 3371"/>
                                <a:gd name="T19" fmla="*/ 1298 h 13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371" h="1319">
                                  <a:moveTo>
                                    <a:pt x="3371" y="1319"/>
                                  </a:moveTo>
                                  <a:lnTo>
                                    <a:pt x="0" y="1319"/>
                                  </a:lnTo>
                                  <a:lnTo>
                                    <a:pt x="0" y="0"/>
                                  </a:lnTo>
                                  <a:lnTo>
                                    <a:pt x="3371" y="0"/>
                                  </a:lnTo>
                                  <a:lnTo>
                                    <a:pt x="3371" y="1319"/>
                                  </a:lnTo>
                                  <a:close/>
                                  <a:moveTo>
                                    <a:pt x="22" y="1298"/>
                                  </a:moveTo>
                                  <a:lnTo>
                                    <a:pt x="3350" y="1298"/>
                                  </a:lnTo>
                                  <a:lnTo>
                                    <a:pt x="3350" y="22"/>
                                  </a:lnTo>
                                  <a:lnTo>
                                    <a:pt x="22" y="22"/>
                                  </a:lnTo>
                                  <a:lnTo>
                                    <a:pt x="22" y="1298"/>
                                  </a:lnTo>
                                  <a:close/>
                                </a:path>
                              </a:pathLst>
                            </a:custGeom>
                            <a:grpFill/>
                            <a:ln>
                              <a:noFill/>
                            </a:ln>
                          </wps:spPr>
                          <wps:bodyPr/>
                        </wps:wsp>
                        <wps:wsp>
                          <wps:cNvPr id="11" name="Freeform 158"/>
                          <wps:cNvSpPr>
                            <a:spLocks noEditPoints="1"/>
                          </wps:cNvSpPr>
                          <wps:spPr bwMode="auto">
                            <a:xfrm>
                              <a:off x="5224463"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8"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8" y="37"/>
                                    <a:pt x="29" y="37"/>
                                  </a:cubicBezTo>
                                  <a:cubicBezTo>
                                    <a:pt x="30" y="37"/>
                                    <a:pt x="30" y="37"/>
                                    <a:pt x="31" y="37"/>
                                  </a:cubicBezTo>
                                  <a:cubicBezTo>
                                    <a:pt x="32" y="36"/>
                                    <a:pt x="33" y="35"/>
                                    <a:pt x="33" y="33"/>
                                  </a:cubicBezTo>
                                  <a:cubicBezTo>
                                    <a:pt x="33" y="4"/>
                                    <a:pt x="33" y="4"/>
                                    <a:pt x="33" y="4"/>
                                  </a:cubicBezTo>
                                  <a:cubicBezTo>
                                    <a:pt x="33" y="3"/>
                                    <a:pt x="32" y="2"/>
                                    <a:pt x="31" y="1"/>
                                  </a:cubicBezTo>
                                  <a:cubicBezTo>
                                    <a:pt x="30" y="1"/>
                                    <a:pt x="30" y="0"/>
                                    <a:pt x="29" y="0"/>
                                  </a:cubicBezTo>
                                  <a:close/>
                                </a:path>
                              </a:pathLst>
                            </a:custGeom>
                            <a:grpFill/>
                            <a:ln>
                              <a:noFill/>
                            </a:ln>
                          </wps:spPr>
                          <wps:bodyPr/>
                        </wps:wsp>
                        <wps:wsp>
                          <wps:cNvPr id="12" name="Freeform 159"/>
                          <wps:cNvSpPr>
                            <a:spLocks noEditPoints="1"/>
                          </wps:cNvSpPr>
                          <wps:spPr bwMode="auto">
                            <a:xfrm>
                              <a:off x="5051426"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9"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9" y="37"/>
                                    <a:pt x="29" y="37"/>
                                  </a:cubicBezTo>
                                  <a:cubicBezTo>
                                    <a:pt x="30" y="37"/>
                                    <a:pt x="31" y="37"/>
                                    <a:pt x="31" y="37"/>
                                  </a:cubicBezTo>
                                  <a:cubicBezTo>
                                    <a:pt x="32" y="36"/>
                                    <a:pt x="33" y="35"/>
                                    <a:pt x="33" y="33"/>
                                  </a:cubicBezTo>
                                  <a:cubicBezTo>
                                    <a:pt x="33" y="4"/>
                                    <a:pt x="33" y="4"/>
                                    <a:pt x="33" y="4"/>
                                  </a:cubicBezTo>
                                  <a:cubicBezTo>
                                    <a:pt x="33" y="3"/>
                                    <a:pt x="32" y="2"/>
                                    <a:pt x="31" y="1"/>
                                  </a:cubicBezTo>
                                  <a:cubicBezTo>
                                    <a:pt x="31" y="1"/>
                                    <a:pt x="30" y="0"/>
                                    <a:pt x="29" y="0"/>
                                  </a:cubicBezTo>
                                  <a:close/>
                                </a:path>
                              </a:pathLst>
                            </a:custGeom>
                            <a:grpFill/>
                            <a:ln>
                              <a:noFill/>
                            </a:ln>
                          </wps:spPr>
                          <wps:bodyPr/>
                        </wps:wsp>
                        <wps:wsp>
                          <wps:cNvPr id="13" name="Freeform 160"/>
                          <wps:cNvSpPr>
                            <a:spLocks noEditPoints="1"/>
                          </wps:cNvSpPr>
                          <wps:spPr bwMode="auto">
                            <a:xfrm>
                              <a:off x="4876801"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9"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9" y="37"/>
                                    <a:pt x="29" y="37"/>
                                  </a:cubicBezTo>
                                  <a:cubicBezTo>
                                    <a:pt x="30" y="37"/>
                                    <a:pt x="31" y="37"/>
                                    <a:pt x="31" y="37"/>
                                  </a:cubicBezTo>
                                  <a:cubicBezTo>
                                    <a:pt x="33" y="36"/>
                                    <a:pt x="33" y="35"/>
                                    <a:pt x="33" y="33"/>
                                  </a:cubicBezTo>
                                  <a:cubicBezTo>
                                    <a:pt x="33" y="4"/>
                                    <a:pt x="33" y="4"/>
                                    <a:pt x="33" y="4"/>
                                  </a:cubicBezTo>
                                  <a:cubicBezTo>
                                    <a:pt x="33" y="3"/>
                                    <a:pt x="33" y="2"/>
                                    <a:pt x="31" y="1"/>
                                  </a:cubicBezTo>
                                  <a:cubicBezTo>
                                    <a:pt x="31" y="1"/>
                                    <a:pt x="30" y="0"/>
                                    <a:pt x="29" y="0"/>
                                  </a:cubicBezTo>
                                  <a:close/>
                                </a:path>
                              </a:pathLst>
                            </a:custGeom>
                            <a:grpFill/>
                            <a:ln>
                              <a:noFill/>
                            </a:ln>
                          </wps:spPr>
                          <wps:bodyPr/>
                        </wps:wsp>
                        <wps:wsp>
                          <wps:cNvPr id="14" name="Freeform 161"/>
                          <wps:cNvSpPr>
                            <a:spLocks noEditPoints="1"/>
                          </wps:cNvSpPr>
                          <wps:spPr bwMode="auto">
                            <a:xfrm>
                              <a:off x="4703763" y="2274888"/>
                              <a:ext cx="142875" cy="158750"/>
                            </a:xfrm>
                            <a:custGeom>
                              <a:avLst/>
                              <a:gdLst>
                                <a:gd name="T0" fmla="*/ 30 w 34"/>
                                <a:gd name="T1" fmla="*/ 4 h 37"/>
                                <a:gd name="T2" fmla="*/ 30 w 34"/>
                                <a:gd name="T3" fmla="*/ 33 h 37"/>
                                <a:gd name="T4" fmla="*/ 4 w 34"/>
                                <a:gd name="T5" fmla="*/ 19 h 37"/>
                                <a:gd name="T6" fmla="*/ 30 w 34"/>
                                <a:gd name="T7" fmla="*/ 4 h 37"/>
                                <a:gd name="T8" fmla="*/ 30 w 34"/>
                                <a:gd name="T9" fmla="*/ 0 h 37"/>
                                <a:gd name="T10" fmla="*/ 28 w 34"/>
                                <a:gd name="T11" fmla="*/ 1 h 37"/>
                                <a:gd name="T12" fmla="*/ 2 w 34"/>
                                <a:gd name="T13" fmla="*/ 15 h 37"/>
                                <a:gd name="T14" fmla="*/ 0 w 34"/>
                                <a:gd name="T15" fmla="*/ 19 h 37"/>
                                <a:gd name="T16" fmla="*/ 2 w 34"/>
                                <a:gd name="T17" fmla="*/ 22 h 37"/>
                                <a:gd name="T18" fmla="*/ 28 w 34"/>
                                <a:gd name="T19" fmla="*/ 37 h 37"/>
                                <a:gd name="T20" fmla="*/ 30 w 34"/>
                                <a:gd name="T21" fmla="*/ 37 h 37"/>
                                <a:gd name="T22" fmla="*/ 32 w 34"/>
                                <a:gd name="T23" fmla="*/ 37 h 37"/>
                                <a:gd name="T24" fmla="*/ 34 w 34"/>
                                <a:gd name="T25" fmla="*/ 33 h 37"/>
                                <a:gd name="T26" fmla="*/ 34 w 34"/>
                                <a:gd name="T27" fmla="*/ 4 h 37"/>
                                <a:gd name="T28" fmla="*/ 32 w 34"/>
                                <a:gd name="T29" fmla="*/ 1 h 37"/>
                                <a:gd name="T30" fmla="*/ 30 w 34"/>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4" h="37">
                                  <a:moveTo>
                                    <a:pt x="30" y="4"/>
                                  </a:moveTo>
                                  <a:cubicBezTo>
                                    <a:pt x="30" y="33"/>
                                    <a:pt x="30" y="33"/>
                                    <a:pt x="30" y="33"/>
                                  </a:cubicBezTo>
                                  <a:cubicBezTo>
                                    <a:pt x="4" y="19"/>
                                    <a:pt x="4" y="19"/>
                                    <a:pt x="4" y="19"/>
                                  </a:cubicBezTo>
                                  <a:cubicBezTo>
                                    <a:pt x="30" y="4"/>
                                    <a:pt x="30" y="4"/>
                                    <a:pt x="30" y="4"/>
                                  </a:cubicBezTo>
                                  <a:moveTo>
                                    <a:pt x="30" y="0"/>
                                  </a:moveTo>
                                  <a:cubicBezTo>
                                    <a:pt x="29" y="0"/>
                                    <a:pt x="28" y="1"/>
                                    <a:pt x="28" y="1"/>
                                  </a:cubicBezTo>
                                  <a:cubicBezTo>
                                    <a:pt x="2" y="15"/>
                                    <a:pt x="2" y="15"/>
                                    <a:pt x="2" y="15"/>
                                  </a:cubicBezTo>
                                  <a:cubicBezTo>
                                    <a:pt x="1" y="16"/>
                                    <a:pt x="0" y="17"/>
                                    <a:pt x="0" y="19"/>
                                  </a:cubicBezTo>
                                  <a:cubicBezTo>
                                    <a:pt x="0" y="20"/>
                                    <a:pt x="1" y="22"/>
                                    <a:pt x="2" y="22"/>
                                  </a:cubicBezTo>
                                  <a:cubicBezTo>
                                    <a:pt x="28" y="37"/>
                                    <a:pt x="28" y="37"/>
                                    <a:pt x="28" y="37"/>
                                  </a:cubicBezTo>
                                  <a:cubicBezTo>
                                    <a:pt x="28" y="37"/>
                                    <a:pt x="29" y="37"/>
                                    <a:pt x="30" y="37"/>
                                  </a:cubicBezTo>
                                  <a:cubicBezTo>
                                    <a:pt x="30" y="37"/>
                                    <a:pt x="31" y="37"/>
                                    <a:pt x="32" y="37"/>
                                  </a:cubicBezTo>
                                  <a:cubicBezTo>
                                    <a:pt x="33" y="36"/>
                                    <a:pt x="34" y="35"/>
                                    <a:pt x="34" y="33"/>
                                  </a:cubicBezTo>
                                  <a:cubicBezTo>
                                    <a:pt x="34" y="4"/>
                                    <a:pt x="34" y="4"/>
                                    <a:pt x="34" y="4"/>
                                  </a:cubicBezTo>
                                  <a:cubicBezTo>
                                    <a:pt x="34" y="3"/>
                                    <a:pt x="33" y="2"/>
                                    <a:pt x="32" y="1"/>
                                  </a:cubicBezTo>
                                  <a:cubicBezTo>
                                    <a:pt x="31" y="1"/>
                                    <a:pt x="30" y="0"/>
                                    <a:pt x="30" y="0"/>
                                  </a:cubicBezTo>
                                  <a:close/>
                                </a:path>
                              </a:pathLst>
                            </a:custGeom>
                            <a:grpFill/>
                            <a:ln>
                              <a:noFill/>
                            </a:ln>
                          </wps:spPr>
                          <wps:bodyPr/>
                        </wps:wsp>
                        <wps:wsp>
                          <wps:cNvPr id="15" name="Freeform 162"/>
                          <wps:cNvSpPr>
                            <a:spLocks noEditPoints="1"/>
                          </wps:cNvSpPr>
                          <wps:spPr bwMode="auto">
                            <a:xfrm>
                              <a:off x="4533901"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8" y="0"/>
                                    <a:pt x="27" y="1"/>
                                    <a:pt x="27" y="1"/>
                                  </a:cubicBezTo>
                                  <a:cubicBezTo>
                                    <a:pt x="2" y="15"/>
                                    <a:pt x="2" y="15"/>
                                    <a:pt x="2" y="15"/>
                                  </a:cubicBezTo>
                                  <a:cubicBezTo>
                                    <a:pt x="0" y="16"/>
                                    <a:pt x="0" y="17"/>
                                    <a:pt x="0" y="19"/>
                                  </a:cubicBezTo>
                                  <a:cubicBezTo>
                                    <a:pt x="0" y="20"/>
                                    <a:pt x="0" y="22"/>
                                    <a:pt x="2" y="22"/>
                                  </a:cubicBezTo>
                                  <a:cubicBezTo>
                                    <a:pt x="27" y="37"/>
                                    <a:pt x="27" y="37"/>
                                    <a:pt x="27" y="37"/>
                                  </a:cubicBezTo>
                                  <a:cubicBezTo>
                                    <a:pt x="27" y="37"/>
                                    <a:pt x="28" y="37"/>
                                    <a:pt x="29" y="37"/>
                                  </a:cubicBezTo>
                                  <a:cubicBezTo>
                                    <a:pt x="29" y="37"/>
                                    <a:pt x="30" y="37"/>
                                    <a:pt x="31" y="37"/>
                                  </a:cubicBezTo>
                                  <a:cubicBezTo>
                                    <a:pt x="32" y="36"/>
                                    <a:pt x="33" y="35"/>
                                    <a:pt x="33" y="33"/>
                                  </a:cubicBezTo>
                                  <a:cubicBezTo>
                                    <a:pt x="33" y="4"/>
                                    <a:pt x="33" y="4"/>
                                    <a:pt x="33" y="4"/>
                                  </a:cubicBezTo>
                                  <a:cubicBezTo>
                                    <a:pt x="33" y="3"/>
                                    <a:pt x="32" y="2"/>
                                    <a:pt x="31" y="1"/>
                                  </a:cubicBezTo>
                                  <a:cubicBezTo>
                                    <a:pt x="30" y="1"/>
                                    <a:pt x="29" y="0"/>
                                    <a:pt x="29" y="0"/>
                                  </a:cubicBezTo>
                                  <a:close/>
                                </a:path>
                              </a:pathLst>
                            </a:custGeom>
                            <a:grpFill/>
                            <a:ln>
                              <a:noFill/>
                            </a:ln>
                          </wps:spPr>
                          <wps:bodyPr/>
                        </wps:wsp>
                        <wps:wsp>
                          <wps:cNvPr id="16" name="Freeform 163"/>
                          <wps:cNvSpPr>
                            <a:spLocks noEditPoints="1"/>
                          </wps:cNvSpPr>
                          <wps:spPr bwMode="auto">
                            <a:xfrm>
                              <a:off x="4359276"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8" y="0"/>
                                    <a:pt x="27" y="1"/>
                                    <a:pt x="27" y="1"/>
                                  </a:cubicBezTo>
                                  <a:cubicBezTo>
                                    <a:pt x="2" y="15"/>
                                    <a:pt x="2" y="15"/>
                                    <a:pt x="2" y="15"/>
                                  </a:cubicBezTo>
                                  <a:cubicBezTo>
                                    <a:pt x="1" y="16"/>
                                    <a:pt x="0" y="17"/>
                                    <a:pt x="0" y="19"/>
                                  </a:cubicBezTo>
                                  <a:cubicBezTo>
                                    <a:pt x="0" y="20"/>
                                    <a:pt x="1" y="22"/>
                                    <a:pt x="2" y="22"/>
                                  </a:cubicBezTo>
                                  <a:cubicBezTo>
                                    <a:pt x="27" y="37"/>
                                    <a:pt x="27" y="37"/>
                                    <a:pt x="27" y="37"/>
                                  </a:cubicBezTo>
                                  <a:cubicBezTo>
                                    <a:pt x="27" y="37"/>
                                    <a:pt x="28" y="37"/>
                                    <a:pt x="29" y="37"/>
                                  </a:cubicBezTo>
                                  <a:cubicBezTo>
                                    <a:pt x="30" y="37"/>
                                    <a:pt x="30" y="37"/>
                                    <a:pt x="31" y="37"/>
                                  </a:cubicBezTo>
                                  <a:cubicBezTo>
                                    <a:pt x="32" y="36"/>
                                    <a:pt x="33" y="35"/>
                                    <a:pt x="33" y="33"/>
                                  </a:cubicBezTo>
                                  <a:cubicBezTo>
                                    <a:pt x="33" y="4"/>
                                    <a:pt x="33" y="4"/>
                                    <a:pt x="33" y="4"/>
                                  </a:cubicBezTo>
                                  <a:cubicBezTo>
                                    <a:pt x="33" y="3"/>
                                    <a:pt x="32" y="2"/>
                                    <a:pt x="31" y="1"/>
                                  </a:cubicBezTo>
                                  <a:cubicBezTo>
                                    <a:pt x="30" y="1"/>
                                    <a:pt x="30" y="0"/>
                                    <a:pt x="29" y="0"/>
                                  </a:cubicBezTo>
                                  <a:close/>
                                </a:path>
                              </a:pathLst>
                            </a:custGeom>
                            <a:grpFill/>
                            <a:ln>
                              <a:noFill/>
                            </a:ln>
                          </wps:spPr>
                          <wps:bodyPr/>
                        </wps:wsp>
                        <wps:wsp>
                          <wps:cNvPr id="17" name="Freeform 164"/>
                          <wps:cNvSpPr>
                            <a:spLocks noEditPoints="1"/>
                          </wps:cNvSpPr>
                          <wps:spPr bwMode="auto">
                            <a:xfrm>
                              <a:off x="4186238"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8"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8" y="37"/>
                                    <a:pt x="29" y="37"/>
                                  </a:cubicBezTo>
                                  <a:cubicBezTo>
                                    <a:pt x="30" y="37"/>
                                    <a:pt x="30" y="37"/>
                                    <a:pt x="31" y="37"/>
                                  </a:cubicBezTo>
                                  <a:cubicBezTo>
                                    <a:pt x="32" y="36"/>
                                    <a:pt x="33" y="35"/>
                                    <a:pt x="33" y="33"/>
                                  </a:cubicBezTo>
                                  <a:cubicBezTo>
                                    <a:pt x="33" y="4"/>
                                    <a:pt x="33" y="4"/>
                                    <a:pt x="33" y="4"/>
                                  </a:cubicBezTo>
                                  <a:cubicBezTo>
                                    <a:pt x="33" y="3"/>
                                    <a:pt x="32" y="2"/>
                                    <a:pt x="31" y="1"/>
                                  </a:cubicBezTo>
                                  <a:cubicBezTo>
                                    <a:pt x="30" y="1"/>
                                    <a:pt x="30" y="0"/>
                                    <a:pt x="29" y="0"/>
                                  </a:cubicBezTo>
                                  <a:close/>
                                </a:path>
                              </a:pathLst>
                            </a:custGeom>
                            <a:grpFill/>
                            <a:ln>
                              <a:noFill/>
                            </a:ln>
                          </wps:spPr>
                          <wps:bodyPr/>
                        </wps:wsp>
                        <wps:wsp>
                          <wps:cNvPr id="18" name="Freeform 165"/>
                          <wps:cNvSpPr>
                            <a:spLocks noEditPoints="1"/>
                          </wps:cNvSpPr>
                          <wps:spPr bwMode="auto">
                            <a:xfrm>
                              <a:off x="4011613"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8"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8" y="37"/>
                                    <a:pt x="29" y="37"/>
                                  </a:cubicBezTo>
                                  <a:cubicBezTo>
                                    <a:pt x="30" y="37"/>
                                    <a:pt x="30" y="37"/>
                                    <a:pt x="31" y="37"/>
                                  </a:cubicBezTo>
                                  <a:cubicBezTo>
                                    <a:pt x="32" y="36"/>
                                    <a:pt x="33" y="35"/>
                                    <a:pt x="33" y="33"/>
                                  </a:cubicBezTo>
                                  <a:cubicBezTo>
                                    <a:pt x="33" y="4"/>
                                    <a:pt x="33" y="4"/>
                                    <a:pt x="33" y="4"/>
                                  </a:cubicBezTo>
                                  <a:cubicBezTo>
                                    <a:pt x="33" y="3"/>
                                    <a:pt x="32" y="2"/>
                                    <a:pt x="31" y="1"/>
                                  </a:cubicBezTo>
                                  <a:cubicBezTo>
                                    <a:pt x="30" y="1"/>
                                    <a:pt x="30" y="0"/>
                                    <a:pt x="29" y="0"/>
                                  </a:cubicBezTo>
                                  <a:close/>
                                </a:path>
                              </a:pathLst>
                            </a:custGeom>
                            <a:grpFill/>
                            <a:ln>
                              <a:noFill/>
                            </a:ln>
                          </wps:spPr>
                          <wps:bodyPr/>
                        </wps:wsp>
                        <wps:wsp>
                          <wps:cNvPr id="19" name="Freeform 166"/>
                          <wps:cNvSpPr>
                            <a:spLocks noEditPoints="1"/>
                          </wps:cNvSpPr>
                          <wps:spPr bwMode="auto">
                            <a:xfrm>
                              <a:off x="3838576"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9"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9" y="37"/>
                                    <a:pt x="29" y="37"/>
                                  </a:cubicBezTo>
                                  <a:cubicBezTo>
                                    <a:pt x="30" y="37"/>
                                    <a:pt x="31" y="37"/>
                                    <a:pt x="31" y="37"/>
                                  </a:cubicBezTo>
                                  <a:cubicBezTo>
                                    <a:pt x="32" y="36"/>
                                    <a:pt x="33" y="35"/>
                                    <a:pt x="33" y="33"/>
                                  </a:cubicBezTo>
                                  <a:cubicBezTo>
                                    <a:pt x="33" y="4"/>
                                    <a:pt x="33" y="4"/>
                                    <a:pt x="33" y="4"/>
                                  </a:cubicBezTo>
                                  <a:cubicBezTo>
                                    <a:pt x="33" y="3"/>
                                    <a:pt x="32" y="2"/>
                                    <a:pt x="31" y="1"/>
                                  </a:cubicBezTo>
                                  <a:cubicBezTo>
                                    <a:pt x="31" y="1"/>
                                    <a:pt x="30" y="0"/>
                                    <a:pt x="29" y="0"/>
                                  </a:cubicBezTo>
                                  <a:close/>
                                </a:path>
                              </a:pathLst>
                            </a:custGeom>
                            <a:grpFill/>
                            <a:ln>
                              <a:noFill/>
                            </a:ln>
                          </wps:spPr>
                          <wps:bodyPr/>
                        </wps:wsp>
                        <wps:wsp>
                          <wps:cNvPr id="20" name="Freeform 167"/>
                          <wps:cNvSpPr/>
                          <wps:spPr bwMode="auto">
                            <a:xfrm>
                              <a:off x="3354388" y="2355850"/>
                              <a:ext cx="461963" cy="2095500"/>
                            </a:xfrm>
                            <a:custGeom>
                              <a:avLst/>
                              <a:gdLst>
                                <a:gd name="T0" fmla="*/ 21 w 291"/>
                                <a:gd name="T1" fmla="*/ 22 h 1320"/>
                                <a:gd name="T2" fmla="*/ 275 w 291"/>
                                <a:gd name="T3" fmla="*/ 22 h 1320"/>
                                <a:gd name="T4" fmla="*/ 275 w 291"/>
                                <a:gd name="T5" fmla="*/ 0 h 1320"/>
                                <a:gd name="T6" fmla="*/ 0 w 291"/>
                                <a:gd name="T7" fmla="*/ 0 h 1320"/>
                                <a:gd name="T8" fmla="*/ 0 w 291"/>
                                <a:gd name="T9" fmla="*/ 1320 h 1320"/>
                                <a:gd name="T10" fmla="*/ 291 w 291"/>
                                <a:gd name="T11" fmla="*/ 1320 h 1320"/>
                                <a:gd name="T12" fmla="*/ 291 w 291"/>
                                <a:gd name="T13" fmla="*/ 1298 h 1320"/>
                                <a:gd name="T14" fmla="*/ 21 w 291"/>
                                <a:gd name="T15" fmla="*/ 1298 h 1320"/>
                                <a:gd name="T16" fmla="*/ 21 w 291"/>
                                <a:gd name="T17" fmla="*/ 22 h 13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91" h="1320">
                                  <a:moveTo>
                                    <a:pt x="21" y="22"/>
                                  </a:moveTo>
                                  <a:lnTo>
                                    <a:pt x="275" y="22"/>
                                  </a:lnTo>
                                  <a:lnTo>
                                    <a:pt x="275" y="0"/>
                                  </a:lnTo>
                                  <a:lnTo>
                                    <a:pt x="0" y="0"/>
                                  </a:lnTo>
                                  <a:lnTo>
                                    <a:pt x="0" y="1320"/>
                                  </a:lnTo>
                                  <a:lnTo>
                                    <a:pt x="291" y="1320"/>
                                  </a:lnTo>
                                  <a:lnTo>
                                    <a:pt x="291" y="1298"/>
                                  </a:lnTo>
                                  <a:lnTo>
                                    <a:pt x="21" y="1298"/>
                                  </a:lnTo>
                                  <a:lnTo>
                                    <a:pt x="21" y="22"/>
                                  </a:lnTo>
                                  <a:close/>
                                </a:path>
                              </a:pathLst>
                            </a:custGeom>
                            <a:grpFill/>
                            <a:ln>
                              <a:noFill/>
                            </a:ln>
                          </wps:spPr>
                          <wps:bodyPr/>
                        </wps:wsp>
                        <wps:wsp>
                          <wps:cNvPr id="21" name="Freeform 168"/>
                          <wps:cNvSpPr/>
                          <wps:spPr bwMode="auto">
                            <a:xfrm>
                              <a:off x="5407026" y="2355850"/>
                              <a:ext cx="3298825" cy="285750"/>
                            </a:xfrm>
                            <a:custGeom>
                              <a:avLst/>
                              <a:gdLst>
                                <a:gd name="T0" fmla="*/ 2078 w 2078"/>
                                <a:gd name="T1" fmla="*/ 0 h 180"/>
                                <a:gd name="T2" fmla="*/ 0 w 2078"/>
                                <a:gd name="T3" fmla="*/ 0 h 180"/>
                                <a:gd name="T4" fmla="*/ 0 w 2078"/>
                                <a:gd name="T5" fmla="*/ 22 h 180"/>
                                <a:gd name="T6" fmla="*/ 2057 w 2078"/>
                                <a:gd name="T7" fmla="*/ 22 h 180"/>
                                <a:gd name="T8" fmla="*/ 2057 w 2078"/>
                                <a:gd name="T9" fmla="*/ 180 h 180"/>
                                <a:gd name="T10" fmla="*/ 2078 w 2078"/>
                                <a:gd name="T11" fmla="*/ 180 h 180"/>
                                <a:gd name="T12" fmla="*/ 2078 w 2078"/>
                                <a:gd name="T13" fmla="*/ 0 h 180"/>
                              </a:gdLst>
                              <a:ahLst/>
                              <a:cxnLst>
                                <a:cxn ang="0">
                                  <a:pos x="T0" y="T1"/>
                                </a:cxn>
                                <a:cxn ang="0">
                                  <a:pos x="T2" y="T3"/>
                                </a:cxn>
                                <a:cxn ang="0">
                                  <a:pos x="T4" y="T5"/>
                                </a:cxn>
                                <a:cxn ang="0">
                                  <a:pos x="T6" y="T7"/>
                                </a:cxn>
                                <a:cxn ang="0">
                                  <a:pos x="T8" y="T9"/>
                                </a:cxn>
                                <a:cxn ang="0">
                                  <a:pos x="T10" y="T11"/>
                                </a:cxn>
                                <a:cxn ang="0">
                                  <a:pos x="T12" y="T13"/>
                                </a:cxn>
                              </a:cxnLst>
                              <a:rect l="0" t="0" r="r" b="b"/>
                              <a:pathLst>
                                <a:path w="2078" h="180">
                                  <a:moveTo>
                                    <a:pt x="2078" y="0"/>
                                  </a:moveTo>
                                  <a:lnTo>
                                    <a:pt x="0" y="0"/>
                                  </a:lnTo>
                                  <a:lnTo>
                                    <a:pt x="0" y="22"/>
                                  </a:lnTo>
                                  <a:lnTo>
                                    <a:pt x="2057" y="22"/>
                                  </a:lnTo>
                                  <a:lnTo>
                                    <a:pt x="2057" y="180"/>
                                  </a:lnTo>
                                  <a:lnTo>
                                    <a:pt x="2078" y="180"/>
                                  </a:lnTo>
                                  <a:lnTo>
                                    <a:pt x="2078" y="0"/>
                                  </a:lnTo>
                                  <a:close/>
                                </a:path>
                              </a:pathLst>
                            </a:custGeom>
                            <a:grpFill/>
                            <a:ln>
                              <a:noFill/>
                            </a:ln>
                          </wps:spPr>
                          <wps:bodyPr/>
                        </wps:wsp>
                        <wps:wsp>
                          <wps:cNvPr id="22" name="Freeform 169"/>
                          <wps:cNvSpPr/>
                          <wps:spPr bwMode="auto">
                            <a:xfrm>
                              <a:off x="4105276" y="2927350"/>
                              <a:ext cx="4600575" cy="1524000"/>
                            </a:xfrm>
                            <a:custGeom>
                              <a:avLst/>
                              <a:gdLst>
                                <a:gd name="T0" fmla="*/ 2877 w 2898"/>
                                <a:gd name="T1" fmla="*/ 938 h 960"/>
                                <a:gd name="T2" fmla="*/ 0 w 2898"/>
                                <a:gd name="T3" fmla="*/ 938 h 960"/>
                                <a:gd name="T4" fmla="*/ 0 w 2898"/>
                                <a:gd name="T5" fmla="*/ 960 h 960"/>
                                <a:gd name="T6" fmla="*/ 2898 w 2898"/>
                                <a:gd name="T7" fmla="*/ 960 h 960"/>
                                <a:gd name="T8" fmla="*/ 2898 w 2898"/>
                                <a:gd name="T9" fmla="*/ 0 h 960"/>
                                <a:gd name="T10" fmla="*/ 2877 w 2898"/>
                                <a:gd name="T11" fmla="*/ 0 h 960"/>
                                <a:gd name="T12" fmla="*/ 2877 w 2898"/>
                                <a:gd name="T13" fmla="*/ 938 h 960"/>
                              </a:gdLst>
                              <a:ahLst/>
                              <a:cxnLst>
                                <a:cxn ang="0">
                                  <a:pos x="T0" y="T1"/>
                                </a:cxn>
                                <a:cxn ang="0">
                                  <a:pos x="T2" y="T3"/>
                                </a:cxn>
                                <a:cxn ang="0">
                                  <a:pos x="T4" y="T5"/>
                                </a:cxn>
                                <a:cxn ang="0">
                                  <a:pos x="T6" y="T7"/>
                                </a:cxn>
                                <a:cxn ang="0">
                                  <a:pos x="T8" y="T9"/>
                                </a:cxn>
                                <a:cxn ang="0">
                                  <a:pos x="T10" y="T11"/>
                                </a:cxn>
                                <a:cxn ang="0">
                                  <a:pos x="T12" y="T13"/>
                                </a:cxn>
                              </a:cxnLst>
                              <a:rect l="0" t="0" r="r" b="b"/>
                              <a:pathLst>
                                <a:path w="2898" h="960">
                                  <a:moveTo>
                                    <a:pt x="2877" y="938"/>
                                  </a:moveTo>
                                  <a:lnTo>
                                    <a:pt x="0" y="938"/>
                                  </a:lnTo>
                                  <a:lnTo>
                                    <a:pt x="0" y="960"/>
                                  </a:lnTo>
                                  <a:lnTo>
                                    <a:pt x="2898" y="960"/>
                                  </a:lnTo>
                                  <a:lnTo>
                                    <a:pt x="2898" y="0"/>
                                  </a:lnTo>
                                  <a:lnTo>
                                    <a:pt x="2877" y="0"/>
                                  </a:lnTo>
                                  <a:lnTo>
                                    <a:pt x="2877" y="938"/>
                                  </a:lnTo>
                                  <a:close/>
                                </a:path>
                              </a:pathLst>
                            </a:custGeom>
                            <a:gradFill>
                              <a:gsLst>
                                <a:gs pos="0">
                                  <a:srgbClr val="4B62D6"/>
                                </a:gs>
                                <a:gs pos="100000">
                                  <a:srgbClr val="00B0F0"/>
                                </a:gs>
                              </a:gsLst>
                              <a:lin ang="11400000" scaled="0"/>
                            </a:gradFill>
                            <a:ln>
                              <a:noFill/>
                            </a:ln>
                          </wps:spPr>
                          <wps:bodyPr/>
                        </wps:wsp>
                      </wpg:grpSp>
                      <wps:wsp>
                        <wps:cNvPr id="23" name="文本框 6"/>
                        <wps:cNvSpPr txBox="1"/>
                        <wps:spPr>
                          <a:xfrm>
                            <a:off x="5882" y="1862"/>
                            <a:ext cx="7907" cy="4144"/>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kinsoku/>
                                <w:spacing w:line="240" w:lineRule="auto"/>
                                <w:ind w:left="0" w:leftChars="0" w:firstLine="361" w:firstLineChars="100"/>
                                <w:jc w:val="both"/>
                                <w:textAlignment w:val="top"/>
                                <w:rPr>
                                  <w:rFonts w:hint="eastAsia" w:ascii="楷体" w:hAnsi="楷体" w:eastAsia="楷体" w:cs="楷体"/>
                                  <w:b/>
                                  <w:bCs/>
                                  <w:sz w:val="32"/>
                                  <w:szCs w:val="32"/>
                                </w:rPr>
                              </w:pPr>
                              <w:r>
                                <w:rPr>
                                  <w:rFonts w:hint="eastAsia" w:ascii="楷体" w:hAnsi="楷体" w:eastAsia="楷体" w:cs="楷体"/>
                                  <w:b/>
                                  <w:bCs/>
                                  <w:color w:val="3669D7"/>
                                  <w:kern w:val="24"/>
                                  <w:sz w:val="36"/>
                                  <w:szCs w:val="36"/>
                                  <w:lang w:eastAsia="zh-CN"/>
                                </w:rPr>
                                <w:t>国际新闻</w:t>
                              </w:r>
                            </w:p>
                          </w:txbxContent>
                        </wps:txbx>
                        <wps:bodyPr rot="0" spcFirstLastPara="0" vertOverflow="overflow" horzOverflow="overflow" vert="horz" wrap="square" lIns="91440" tIns="45720" rIns="91440" bIns="45720" numCol="1" spcCol="0" rtlCol="0" fromWordArt="0" anchor="t" anchorCtr="0" forceAA="0" upright="1" compatLnSpc="1">
                          <a:noAutofit/>
                        </wps:bodyPr>
                      </wps:wsp>
                    </wpg:wgp>
                  </a:graphicData>
                </a:graphic>
              </wp:anchor>
            </w:drawing>
          </mc:Choice>
          <mc:Fallback>
            <w:pict>
              <v:group id="_x0000_s1026" o:spid="_x0000_s1026" o:spt="203" alt="7b0a202020202274657874626f78223a20227b5c2269645c223a32303334333734372c5c2263617465676f72795f69645c223a5c225c227d220a7d0a" style="position:absolute;left:0pt;margin-left:157.65pt;margin-top:2.05pt;height:49.4pt;width:115.7pt;z-index:251660288;mso-width-relative:page;mso-height-relative:page;" coordorigin="5718,1723" coordsize="8436,4283" o:gfxdata="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">
                <o:lock v:ext="edit" aspectratio="f"/>
                <v:group id="组合 1173" o:spid="_x0000_s1026" o:spt="203" style="position:absolute;left:5718;top:1723;height:3539;width:8436;" coordorigin="3354388,2274888" coordsize="5478463,2298700" o:gfxdata="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lFd0lL0AAADaAAAADwAAAAAAAAABACAAAAAiAAAAZHJzL2Rvd25yZXYueG1s&#10;UEsBAhQAFAAAAAgAh07iQDMvBZ47AAAAOQAAABUAAAAAAAAAAQAgAAAADAEAAGRycy9ncm91cHNo&#10;YXBleG1sLnhtbFBLBQYAAAAABgAGAGABAADJAwAAAAA=&#10;">
                  <o:lock v:ext="edit" aspectratio="f"/>
                  <v:shape id="Freeform 155" o:spid="_x0000_s1026" o:spt="100" style="position:absolute;left:4019551;top:4378325;height:101600;width:103188;" filled="t" stroked="f" coordsize="24,24" o:gfxdata="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HO/YLsAAADa&#10;AAAADwAAAAAAAAABACAAAAAiAAAAZHJzL2Rvd25yZXYueG1sUEsBAhQAFAAAAAgAh07iQDMvBZ47&#10;AAAAOQAAABAAAAAAAAAAAQAgAAAACgEAAGRycy9zaGFwZXhtbC54bWxQSwUGAAAAAAYABgBbAQAA&#10;tAMAAAAA&#10;" path="m12,24c5,24,0,19,0,12c0,6,5,0,12,0c19,0,24,6,24,12c24,19,19,24,12,24xm12,5c8,5,4,8,4,12c4,16,8,20,12,20c16,20,19,16,19,12c19,8,16,5,12,5xe">
                    <v:path o:connectlocs="51594,101600;0,50800;51594,0;103188,50800;51594,101600;51594,21166;17198,50800;51594,84666;81690,50800;51594,21166" o:connectangles="0,0,0,0,0,0,0,0,0,0"/>
                    <v:fill on="t" focussize="0,0"/>
                    <v:stroke on="f"/>
                    <v:imagedata o:title=""/>
                    <o:lock v:ext="edit" aspectratio="f"/>
                  </v:shape>
                  <v:shape id="Freeform 156" o:spid="_x0000_s1026" o:spt="100" style="position:absolute;left:8637588;top:2628900;height:106363;width:106363;" filled="t" stroked="f" coordsize="25,25" o:gfxdata="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s7C3K/&#10;AAAA2gAAAA8AAAAAAAAAAQAgAAAAIgAAAGRycy9kb3ducmV2LnhtbFBLAQIUABQAAAAIAIdO4kAz&#10;LwWeOwAAADkAAAAQAAAAAAAAAAEAIAAAAA4BAABkcnMvc2hhcGV4bWwueG1sUEsFBgAAAAAGAAYA&#10;WwEAALgDAAAAAA==&#10;" path="m13,25c6,25,0,19,0,12c0,6,6,0,13,0c19,0,25,6,25,12c25,19,19,25,13,25xm13,5c8,5,5,8,5,12c5,17,8,20,13,20c17,20,20,17,20,12c20,8,17,5,13,5xe">
                    <v:path o:connectlocs="55308,106363;0,51054;55308,0;106363,51054;55308,106363;55308,21272;21272,51054;55308,85090;85090,51054;55308,21272" o:connectangles="0,0,0,0,0,0,0,0,0,0"/>
                    <v:fill on="t" focussize="0,0"/>
                    <v:stroke on="f"/>
                    <v:imagedata o:title=""/>
                    <o:lock v:ext="edit" aspectratio="f"/>
                  </v:shape>
                  <v:shape id="Freeform 157" o:spid="_x0000_s1026" o:spt="100" style="position:absolute;left:3481388;top:2479675;height:2093913;width:5351463;" filled="t" stroked="f" coordsize="3371,1319" o:gfxdata="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vGeCdvQAA&#10;ANsAAAAPAAAAAAAAAAEAIAAAACIAAABkcnMvZG93bnJldi54bWxQSwECFAAUAAAACACHTuJAMy8F&#10;njsAAAA5AAAAEAAAAAAAAAABACAAAAAMAQAAZHJzL3NoYXBleG1sLnhtbFBLBQYAAAAABgAGAFsB&#10;AAC2AwAAAAA=&#10;" path="m3371,1319l0,1319,0,0,3371,0,3371,1319xm22,1298l3350,1298,3350,22,22,22,22,1298xe">
                    <v:path o:connectlocs="5351463,2093913;0,2093913;0,0;5351463,0;5351463,2093913;34925,2060575;5318125,2060575;5318125,34925;34925,34925;34925,2060575" o:connectangles="0,0,0,0,0,0,0,0,0,0"/>
                    <v:fill on="t" focussize="0,0"/>
                    <v:stroke on="f"/>
                    <v:imagedata o:title=""/>
                    <o:lock v:ext="edit" aspectratio="f"/>
                  </v:shape>
                  <v:shape id="Freeform 158" o:spid="_x0000_s1026" o:spt="100" style="position:absolute;left:5224463;top:2274888;height:158750;width:139700;" filled="t" stroked="f" coordsize="33,37" o:gfxdata="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S5C9AvQAA&#10;ANsAAAAPAAAAAAAAAAEAIAAAACIAAABkcnMvZG93bnJldi54bWxQSwECFAAUAAAACACHTuJAMy8F&#10;njsAAAA5AAAAEAAAAAAAAAABACAAAAAMAQAAZHJzL3NoYXBleG1sLnhtbFBLBQYAAAAABgAGAFsB&#10;AAC2AwAAAAA=&#10;" path="m29,4c29,33,29,33,29,33c4,19,4,19,4,19c29,4,29,4,29,4m29,0c28,0,28,1,27,1c2,15,2,15,2,15c1,16,0,17,0,19c0,20,1,22,2,22c27,37,27,37,27,37c28,37,28,37,29,37c30,37,30,37,31,37c32,36,33,35,33,33c33,4,33,4,33,4c33,3,32,2,31,1c30,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59" o:spid="_x0000_s1026" o:spt="100" style="position:absolute;left:5051426;top:2274888;height:158750;width:139700;" filled="t" stroked="f" coordsize="33,37" o:gfxdata="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4jaxN7sAAADb&#10;AAAADwAAAAAAAAABACAAAAAiAAAAZHJzL2Rvd25yZXYueG1sUEsBAhQAFAAAAAgAh07iQDMvBZ47&#10;AAAAOQAAABAAAAAAAAAAAQAgAAAACgEAAGRycy9zaGFwZXhtbC54bWxQSwUGAAAAAAYABgBbAQAA&#10;tAMAAAAA&#10;" path="m29,4c29,33,29,33,29,33c4,19,4,19,4,19c29,4,29,4,29,4m29,0c29,0,28,1,27,1c2,15,2,15,2,15c1,16,0,17,0,19c0,20,1,22,2,22c27,37,27,37,27,37c28,37,29,37,29,37c30,37,31,37,31,37c32,36,33,35,33,33c33,4,33,4,33,4c33,3,32,2,31,1c31,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0" o:spid="_x0000_s1026" o:spt="100" style="position:absolute;left:4876801;top:2274888;height:158750;width:139700;" filled="t" stroked="f" coordsize="33,37" o:gfxdata="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16FKy8AAAA&#10;2wAAAA8AAAAAAAAAAQAgAAAAIgAAAGRycy9kb3ducmV2LnhtbFBLAQIUABQAAAAIAIdO4kAzLwWe&#10;OwAAADkAAAAQAAAAAAAAAAEAIAAAAAsBAABkcnMvc2hhcGV4bWwueG1sUEsFBgAAAAAGAAYAWwEA&#10;ALUDAAAAAA==&#10;" path="m29,4c29,33,29,33,29,33c4,19,4,19,4,19c29,4,29,4,29,4m29,0c29,0,28,1,27,1c2,15,2,15,2,15c1,16,0,17,0,19c0,20,1,22,2,22c27,37,27,37,27,37c28,37,29,37,29,37c30,37,31,37,31,37c33,36,33,35,33,33c33,4,33,4,33,4c33,3,33,2,31,1c31,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1" o:spid="_x0000_s1026" o:spt="100" style="position:absolute;left:4703763;top:2274888;height:158750;width:142875;" filled="t" stroked="f" coordsize="34,37" o:gfxdata="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3jzARbsAAADb&#10;AAAADwAAAAAAAAABACAAAAAiAAAAZHJzL2Rvd25yZXYueG1sUEsBAhQAFAAAAAgAh07iQDMvBZ47&#10;AAAAOQAAABAAAAAAAAAAAQAgAAAACgEAAGRycy9zaGFwZXhtbC54bWxQSwUGAAAAAAYABgBbAQAA&#10;tAMAAAAA&#10;" path="m30,4c30,33,30,33,30,33c4,19,4,19,4,19c30,4,30,4,30,4m30,0c29,0,28,1,28,1c2,15,2,15,2,15c1,16,0,17,0,19c0,20,1,22,2,22c28,37,28,37,28,37c28,37,29,37,30,37c30,37,31,37,32,37c33,36,34,35,34,33c34,4,34,4,34,4c34,3,33,2,32,1c31,1,30,0,30,0xe">
                    <v:path o:connectlocs="126066,17162;126066,141587;16808,81520;126066,17162;126066,0;117661,4290;8404,64358;0,81520;8404,94391;117661,158750;126066,158750;134470,158750;142875,141587;142875,17162;134470,4290;126066,0" o:connectangles="0,0,0,0,0,0,0,0,0,0,0,0,0,0,0,0"/>
                    <v:fill on="t" focussize="0,0"/>
                    <v:stroke on="f"/>
                    <v:imagedata o:title=""/>
                    <o:lock v:ext="edit" aspectratio="f"/>
                  </v:shape>
                  <v:shape id="Freeform 162" o:spid="_x0000_s1026" o:spt="100" style="position:absolute;left:4533901;top:2274888;height:158750;width:139700;" filled="t" stroked="f" coordsize="33,37" o:gfxdata="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3fKUO8AAAA&#10;2wAAAA8AAAAAAAAAAQAgAAAAIgAAAGRycy9kb3ducmV2LnhtbFBLAQIUABQAAAAIAIdO4kAzLwWe&#10;OwAAADkAAAAQAAAAAAAAAAEAIAAAAAsBAABkcnMvc2hhcGV4bWwueG1sUEsFBgAAAAAGAAYAWwEA&#10;ALUDAAAAAA==&#10;" path="m29,4c29,33,29,33,29,33c4,19,4,19,4,19c29,4,29,4,29,4m29,0c28,0,27,1,27,1c2,15,2,15,2,15c0,16,0,17,0,19c0,20,0,22,2,22c27,37,27,37,27,37c27,37,28,37,29,37c29,37,30,37,31,37c32,36,33,35,33,33c33,4,33,4,33,4c33,3,32,2,31,1c30,1,29,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3" o:spid="_x0000_s1026" o:spt="100" style="position:absolute;left:4359276;top:2274888;height:158750;width:139700;" filled="t" stroked="f" coordsize="33,37" o:gfxdata="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0NtzS8AAAA&#10;2wAAAA8AAAAAAAAAAQAgAAAAIgAAAGRycy9kb3ducmV2LnhtbFBLAQIUABQAAAAIAIdO4kAzLwWe&#10;OwAAADkAAAAQAAAAAAAAAAEAIAAAAAsBAABkcnMvc2hhcGV4bWwueG1sUEsFBgAAAAAGAAYAWwEA&#10;ALUDAAAAAA==&#10;" path="m29,4c29,33,29,33,29,33c4,19,4,19,4,19c29,4,29,4,29,4m29,0c28,0,27,1,27,1c2,15,2,15,2,15c1,16,0,17,0,19c0,20,1,22,2,22c27,37,27,37,27,37c27,37,28,37,29,37c30,37,30,37,31,37c32,36,33,35,33,33c33,4,33,4,33,4c33,3,32,2,31,1c30,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4" o:spid="_x0000_s1026" o:spt="100" style="position:absolute;left:4186238;top:2274888;height:158750;width:139700;" filled="t" stroked="f" coordsize="33,37" o:gfxdata="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JBEq+8AAAA&#10;2wAAAA8AAAAAAAAAAQAgAAAAIgAAAGRycy9kb3ducmV2LnhtbFBLAQIUABQAAAAIAIdO4kAzLwWe&#10;OwAAADkAAAAQAAAAAAAAAAEAIAAAAAsBAABkcnMvc2hhcGV4bWwueG1sUEsFBgAAAAAGAAYAWwEA&#10;ALUDAAAAAA==&#10;" path="m29,4c29,33,29,33,29,33c4,19,4,19,4,19c29,4,29,4,29,4m29,0c28,0,28,1,27,1c2,15,2,15,2,15c1,16,0,17,0,19c0,20,1,22,2,22c27,37,27,37,27,37c28,37,28,37,29,37c30,37,30,37,31,37c32,36,33,35,33,33c33,4,33,4,33,4c33,3,32,2,31,1c30,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5" o:spid="_x0000_s1026" o:spt="100" style="position:absolute;left:4011613;top:2274888;height:158750;width:139700;" filled="t" stroked="f" coordsize="33,37" o:gfxdata="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Peht2/&#10;AAAA2wAAAA8AAAAAAAAAAQAgAAAAIgAAAGRycy9kb3ducmV2LnhtbFBLAQIUABQAAAAIAIdO4kAz&#10;LwWeOwAAADkAAAAQAAAAAAAAAAEAIAAAAA4BAABkcnMvc2hhcGV4bWwueG1sUEsFBgAAAAAGAAYA&#10;WwEAALgDAAAAAA==&#10;" path="m29,4c29,33,29,33,29,33c4,19,4,19,4,19c29,4,29,4,29,4m29,0c28,0,28,1,27,1c2,15,2,15,2,15c1,16,0,17,0,19c0,20,1,22,2,22c27,37,27,37,27,37c28,37,28,37,29,37c30,37,30,37,31,37c32,36,33,35,33,33c33,4,33,4,33,4c33,3,32,2,31,1c30,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6" o:spid="_x0000_s1026" o:spt="100" style="position:absolute;left:3838576;top:2274888;height:158750;width:139700;" filled="t" stroked="f" coordsize="33,37" o:gfxdata="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ySI0a8AAAA&#10;2wAAAA8AAAAAAAAAAQAgAAAAIgAAAGRycy9kb3ducmV2LnhtbFBLAQIUABQAAAAIAIdO4kAzLwWe&#10;OwAAADkAAAAQAAAAAAAAAAEAIAAAAAsBAABkcnMvc2hhcGV4bWwueG1sUEsFBgAAAAAGAAYAWwEA&#10;ALUDAAAAAA==&#10;" path="m29,4c29,33,29,33,29,33c4,19,4,19,4,19c29,4,29,4,29,4m29,0c29,0,28,1,27,1c2,15,2,15,2,15c1,16,0,17,0,19c0,20,1,22,2,22c27,37,27,37,27,37c28,37,29,37,29,37c30,37,31,37,31,37c32,36,33,35,33,33c33,4,33,4,33,4c33,3,32,2,31,1c31,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7" o:spid="_x0000_s1026" o:spt="100" style="position:absolute;left:3354388;top:2355850;height:2095500;width:461963;" filled="t" stroked="f" coordsize="291,1320" o:gfxdata="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uJx5IugAAANsA&#10;AAAPAAAAAAAAAAEAIAAAACIAAABkcnMvZG93bnJldi54bWxQSwECFAAUAAAACACHTuJAMy8FnjsA&#10;AAA5AAAAEAAAAAAAAAABACAAAAAJAQAAZHJzL3NoYXBleG1sLnhtbFBLBQYAAAAABgAGAFsBAACz&#10;AwAAAAA=&#10;" path="m21,22l275,22,275,0,0,0,0,1320,291,1320,291,1298,21,1298,21,22xe">
                    <v:path o:connectlocs="33337,34925;436562,34925;436562,0;0,0;0,2095500;461963,2095500;461963,2060575;33337,2060575;33337,34925" o:connectangles="0,0,0,0,0,0,0,0,0"/>
                    <v:fill on="t" focussize="0,0"/>
                    <v:stroke on="f"/>
                    <v:imagedata o:title=""/>
                    <o:lock v:ext="edit" aspectratio="f"/>
                  </v:shape>
                  <v:shape id="Freeform 168" o:spid="_x0000_s1026" o:spt="100" style="position:absolute;left:5407026;top:2355850;height:285750;width:3298825;" filled="t" stroked="f" coordsize="2078,180" o:gfxdata="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6UD3vQAA&#10;ANsAAAAPAAAAAAAAAAEAIAAAACIAAABkcnMvZG93bnJldi54bWxQSwECFAAUAAAACACHTuJAMy8F&#10;njsAAAA5AAAAEAAAAAAAAAABACAAAAAMAQAAZHJzL3NoYXBleG1sLnhtbFBLBQYAAAAABgAGAFsB&#10;AAC2AwAAAAA=&#10;" path="m2078,0l0,0,0,22,2057,22,2057,180,2078,180,2078,0xe">
                    <v:path o:connectlocs="3298825,0;0,0;0,34925;3265487,34925;3265487,285750;3298825,285750;3298825,0" o:connectangles="0,0,0,0,0,0,0"/>
                    <v:fill on="t" focussize="0,0"/>
                    <v:stroke on="f"/>
                    <v:imagedata o:title=""/>
                    <o:lock v:ext="edit" aspectratio="f"/>
                  </v:shape>
                  <v:shape id="Freeform 169" o:spid="_x0000_s1026" o:spt="100" style="position:absolute;left:4105276;top:2927350;height:1524000;width:4600575;" fillcolor="#4B62D6" filled="t" stroked="f" coordsize="2898,960" o:gfxdata="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3bOg74A&#10;AADbAAAADwAAAAAAAAABACAAAAAiAAAAZHJzL2Rvd25yZXYueG1sUEsBAhQAFAAAAAgAh07iQDMv&#10;BZ47AAAAOQAAABAAAAAAAAAAAQAgAAAADQEAAGRycy9zaGFwZXhtbC54bWxQSwUGAAAAAAYABgBb&#10;AQAAtwMAAAAA&#10;" path="m2877,938l0,938,0,960,2898,960,2898,0,2877,0,2877,938xe">
                    <v:path o:connectlocs="4567237,1489075;0,1489075;0,1524000;4600575,1524000;4600575,0;4567237,0;4567237,1489075" o:connectangles="0,0,0,0,0,0,0"/>
                    <v:fill type="gradient" on="t" color2="#00B0F0" angle="260" focus="100%" focussize="0,0" rotate="t">
                      <o:fill type="gradientUnscaled" v:ext="backwardCompatible"/>
                    </v:fill>
                    <v:stroke on="f"/>
                    <v:imagedata o:title=""/>
                    <o:lock v:ext="edit" aspectratio="f"/>
                  </v:shape>
                </v:group>
                <v:shape id="文本框 6" o:spid="_x0000_s1026" o:spt="202" type="#_x0000_t202" style="position:absolute;left:5882;top:1862;height:4144;width:7907;" filled="f" stroked="f" coordsize="21600,21600" o:gfxdata="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ZodSr4A&#10;AADbAAAADwAAAAAAAAABACAAAAAiAAAAZHJzL2Rvd25yZXYueG1sUEsBAhQAFAAAAAgAh07iQDMv&#10;BZ47AAAAOQAAABAAAAAAAAAAAQAgAAAADQEAAGRycy9zaGFwZXhtbC54bWxQSwUGAAAAAAYABgBb&#10;AQAAtwMAAAAA&#10;">
                  <v:fill on="f" focussize="0,0"/>
                  <v:stroke on="f" weight="0.5pt"/>
                  <v:imagedata o:title=""/>
                  <o:lock v:ext="edit" aspectratio="f"/>
                  <v:textbox>
                    <w:txbxContent>
                      <w:p>
                        <w:pPr>
                          <w:pStyle w:val="17"/>
                          <w:kinsoku/>
                          <w:spacing w:line="240" w:lineRule="auto"/>
                          <w:ind w:left="0" w:leftChars="0" w:firstLine="361" w:firstLineChars="100"/>
                          <w:jc w:val="both"/>
                          <w:textAlignment w:val="top"/>
                          <w:rPr>
                            <w:rFonts w:hint="eastAsia" w:ascii="楷体" w:hAnsi="楷体" w:eastAsia="楷体" w:cs="楷体"/>
                            <w:b/>
                            <w:bCs/>
                            <w:sz w:val="32"/>
                            <w:szCs w:val="32"/>
                          </w:rPr>
                        </w:pPr>
                        <w:r>
                          <w:rPr>
                            <w:rFonts w:hint="eastAsia" w:ascii="楷体" w:hAnsi="楷体" w:eastAsia="楷体" w:cs="楷体"/>
                            <w:b/>
                            <w:bCs/>
                            <w:color w:val="3669D7"/>
                            <w:kern w:val="24"/>
                            <w:sz w:val="36"/>
                            <w:szCs w:val="36"/>
                            <w:lang w:eastAsia="zh-CN"/>
                          </w:rPr>
                          <w:t>国际新闻</w:t>
                        </w:r>
                      </w:p>
                    </w:txbxContent>
                  </v:textbox>
                </v:shape>
              </v:group>
            </w:pict>
          </mc:Fallback>
        </mc:AlternateContent>
      </w:r>
      <w:r>
        <w:rPr>
          <w:rFonts w:hint="eastAsia"/>
          <w:color w:val="FFFFFF" w:themeColor="background1"/>
          <w:lang w:eastAsia="zh-CN"/>
          <w14:textFill>
            <w14:solidFill>
              <w14:schemeClr w14:val="bg1"/>
            </w14:solidFill>
          </w14:textFill>
        </w:rPr>
        <w:t>其他</w:t>
      </w:r>
    </w:p>
    <w:p>
      <w:pPr>
        <w:pStyle w:val="7"/>
        <w:bidi w:val="0"/>
        <w:rPr>
          <w:rFonts w:hint="eastAsia"/>
          <w:color w:val="FFFFFF" w:themeColor="background1"/>
          <w:lang w:eastAsia="zh-CN"/>
          <w14:textFill>
            <w14:solidFill>
              <w14:schemeClr w14:val="bg1"/>
            </w14:solidFill>
          </w14:textFill>
        </w:rPr>
      </w:pPr>
      <w:r>
        <w:rPr>
          <w:rFonts w:hint="eastAsia"/>
          <w:color w:val="FFFFFF" w:themeColor="background1"/>
          <w:lang w:eastAsia="zh-CN"/>
          <w14:textFill>
            <w14:solidFill>
              <w14:schemeClr w14:val="bg1"/>
            </w14:solidFill>
          </w14:textFill>
        </w:rPr>
        <w:t>国际新闻</w:t>
      </w:r>
    </w:p>
    <w:p>
      <w:pPr>
        <w:rPr>
          <w:rFonts w:hint="eastAsia"/>
          <w:lang w:eastAsia="zh-CN"/>
        </w:rPr>
      </w:pPr>
      <w:r>
        <w:rPr>
          <w:rFonts w:hint="eastAsia"/>
          <w:highlight w:val="none"/>
          <w:lang w:val="en-US" w:eastAsia="zh-CN"/>
        </w:rPr>
        <w:t>1.</w:t>
      </w:r>
      <w:r>
        <w:rPr>
          <w:rFonts w:hint="eastAsia"/>
          <w:highlight w:val="none"/>
          <w:lang w:eastAsia="zh-CN"/>
        </w:rPr>
        <w:t>当地时间10月30日，</w:t>
      </w:r>
      <w:r>
        <w:rPr>
          <w:rFonts w:hint="eastAsia"/>
          <w:b/>
          <w:bCs/>
          <w:highlight w:val="none"/>
          <w:lang w:eastAsia="zh-CN"/>
        </w:rPr>
        <w:t>俄</w:t>
      </w:r>
      <w:r>
        <w:rPr>
          <w:rFonts w:hint="eastAsia"/>
          <w:b/>
          <w:bCs/>
          <w:lang w:eastAsia="zh-CN"/>
        </w:rPr>
        <w:t>罗斯政府</w:t>
      </w:r>
      <w:r>
        <w:rPr>
          <w:rFonts w:hint="eastAsia"/>
          <w:lang w:eastAsia="zh-CN"/>
        </w:rPr>
        <w:t>正式宣布将</w:t>
      </w:r>
      <w:r>
        <w:rPr>
          <w:rFonts w:hint="eastAsia"/>
          <w:b/>
          <w:bCs/>
          <w:color w:val="auto"/>
          <w:lang w:eastAsia="zh-CN"/>
        </w:rPr>
        <w:t>11个英国海外领地列入不友好国家和地区名单</w:t>
      </w:r>
      <w:r>
        <w:rPr>
          <w:rFonts w:hint="eastAsia"/>
          <w:lang w:eastAsia="zh-CN"/>
        </w:rPr>
        <w:t>。目前英国全部14个海外领地均被列入该名单。</w:t>
      </w:r>
    </w:p>
    <w:p>
      <w:pPr>
        <w:rPr>
          <w:rFonts w:hint="eastAsia"/>
          <w:lang w:eastAsia="zh-CN"/>
        </w:rPr>
      </w:pPr>
      <w:r>
        <w:rPr>
          <w:rFonts w:hint="eastAsia"/>
          <w:lang w:val="en-US" w:eastAsia="zh-CN"/>
        </w:rPr>
        <w:t>2.</w:t>
      </w:r>
      <w:r>
        <w:rPr>
          <w:rFonts w:hint="eastAsia"/>
          <w:lang w:eastAsia="zh-CN"/>
        </w:rPr>
        <w:t>2022年10月30日举行的</w:t>
      </w:r>
      <w:r>
        <w:rPr>
          <w:rFonts w:hint="eastAsia"/>
          <w:b/>
          <w:bCs/>
          <w:lang w:eastAsia="zh-CN"/>
        </w:rPr>
        <w:t>巴西总统</w:t>
      </w:r>
      <w:r>
        <w:rPr>
          <w:rFonts w:hint="eastAsia"/>
          <w:lang w:eastAsia="zh-CN"/>
        </w:rPr>
        <w:t>大选第二轮投票中，</w:t>
      </w:r>
      <w:r>
        <w:rPr>
          <w:rFonts w:hint="eastAsia"/>
          <w:b/>
          <w:bCs/>
          <w:lang w:eastAsia="zh-CN"/>
        </w:rPr>
        <w:t>卢拉</w:t>
      </w:r>
      <w:r>
        <w:rPr>
          <w:rFonts w:hint="eastAsia"/>
          <w:lang w:eastAsia="zh-CN"/>
        </w:rPr>
        <w:t>获得50.9%的得票率，在巴西总统选举中获胜。</w:t>
      </w:r>
    </w:p>
    <w:p>
      <w:pPr>
        <w:rPr>
          <w:rFonts w:hint="eastAsia"/>
          <w:lang w:eastAsia="zh-CN"/>
        </w:rPr>
      </w:pPr>
      <w:r>
        <w:rPr>
          <w:rFonts w:hint="eastAsia"/>
          <w:lang w:val="en-US" w:eastAsia="zh-CN"/>
        </w:rPr>
        <w:t>3.</w:t>
      </w:r>
      <w:r>
        <w:rPr>
          <w:rFonts w:hint="eastAsia" w:eastAsia="宋体"/>
          <w:lang w:eastAsia="zh-CN"/>
        </w:rPr>
        <w:t>2022年10月29日，国家主席习近平向</w:t>
      </w:r>
      <w:r>
        <w:rPr>
          <w:rFonts w:hint="eastAsia" w:eastAsia="宋体"/>
          <w:b/>
          <w:bCs/>
          <w:lang w:eastAsia="zh-CN"/>
        </w:rPr>
        <w:t>俄中友协</w:t>
      </w:r>
      <w:r>
        <w:rPr>
          <w:rFonts w:hint="eastAsia" w:eastAsia="宋体"/>
          <w:lang w:eastAsia="zh-CN"/>
        </w:rPr>
        <w:t>成立</w:t>
      </w:r>
      <w:r>
        <w:rPr>
          <w:rFonts w:hint="eastAsia" w:eastAsia="宋体"/>
          <w:b/>
          <w:bCs/>
          <w:lang w:eastAsia="zh-CN"/>
        </w:rPr>
        <w:t>65周年</w:t>
      </w:r>
      <w:r>
        <w:rPr>
          <w:rFonts w:hint="eastAsia" w:eastAsia="宋体"/>
          <w:lang w:eastAsia="zh-CN"/>
        </w:rPr>
        <w:t>致贺信。习近平指出，俄中友协成立65年来，始终秉承对华友好理念，为增进两国人民相互了解、友谊、信任，巩固两国友好关系社会民意基础作出重要贡献。</w:t>
      </w:r>
    </w:p>
    <w:p>
      <w:pPr>
        <w:rPr>
          <w:rFonts w:hint="eastAsia"/>
          <w:lang w:eastAsia="zh-CN"/>
        </w:rPr>
      </w:pPr>
      <w:r>
        <w:rPr>
          <w:rFonts w:hint="eastAsia"/>
          <w:lang w:val="en-US" w:eastAsia="zh-CN"/>
        </w:rPr>
        <w:t>4.</w:t>
      </w:r>
      <w:r>
        <w:rPr>
          <w:rFonts w:hint="eastAsia" w:eastAsia="宋体"/>
          <w:lang w:eastAsia="zh-CN"/>
        </w:rPr>
        <w:t>2022年10月31日，国家主席习近平致电路易斯·伊纳西奥·</w:t>
      </w:r>
      <w:r>
        <w:rPr>
          <w:rFonts w:hint="eastAsia" w:eastAsia="宋体"/>
          <w:b/>
          <w:bCs/>
          <w:lang w:eastAsia="zh-CN"/>
        </w:rPr>
        <w:t>卢拉</w:t>
      </w:r>
      <w:r>
        <w:rPr>
          <w:rFonts w:hint="eastAsia" w:eastAsia="宋体"/>
          <w:lang w:eastAsia="zh-CN"/>
        </w:rPr>
        <w:t>·达席尔瓦，祝贺他当选巴西联邦共和国总统。</w:t>
      </w:r>
    </w:p>
    <w:p>
      <w:pPr>
        <w:pStyle w:val="4"/>
        <w:rPr>
          <w:rFonts w:hint="eastAsia"/>
          <w:lang w:eastAsia="zh-CN"/>
        </w:rPr>
      </w:pPr>
      <w:r>
        <w:rPr>
          <w:rFonts w:hint="eastAsia"/>
          <w:highlight w:val="none"/>
          <w:lang w:val="en-US" w:eastAsia="zh-CN"/>
        </w:rPr>
        <w:t>5.</w:t>
      </w:r>
      <w:r>
        <w:rPr>
          <w:rFonts w:hint="eastAsia"/>
          <w:highlight w:val="none"/>
          <w:lang w:eastAsia="zh-CN"/>
        </w:rPr>
        <w:t>2022年11月2日</w:t>
      </w:r>
      <w:r>
        <w:rPr>
          <w:rFonts w:hint="eastAsia"/>
          <w:lang w:eastAsia="zh-CN"/>
        </w:rPr>
        <w:t>，</w:t>
      </w:r>
      <w:r>
        <w:rPr>
          <w:rFonts w:hint="eastAsia"/>
          <w:b/>
          <w:bCs/>
          <w:lang w:eastAsia="zh-CN"/>
        </w:rPr>
        <w:t>中国海军“和平方舟”号医院船</w:t>
      </w:r>
      <w:r>
        <w:rPr>
          <w:rFonts w:hint="eastAsia"/>
          <w:lang w:eastAsia="zh-CN"/>
        </w:rPr>
        <w:t>将赴</w:t>
      </w:r>
      <w:r>
        <w:rPr>
          <w:rFonts w:hint="eastAsia"/>
          <w:b/>
          <w:bCs/>
          <w:lang w:eastAsia="zh-CN"/>
        </w:rPr>
        <w:t>印尼</w:t>
      </w:r>
      <w:r>
        <w:rPr>
          <w:rFonts w:hint="eastAsia"/>
          <w:lang w:eastAsia="zh-CN"/>
        </w:rPr>
        <w:t>进行友好访问。其间，“和平方舟”号将为印尼当地民众、华人华侨等开展门诊常见病、多发病诊治等。</w:t>
      </w:r>
    </w:p>
    <w:p>
      <w:pPr>
        <w:pStyle w:val="4"/>
        <w:rPr>
          <w:rFonts w:hint="eastAsia"/>
          <w:lang w:eastAsia="zh-CN"/>
        </w:rPr>
      </w:pPr>
      <w:r>
        <w:rPr>
          <w:rFonts w:hint="eastAsia"/>
          <w:lang w:val="en-US" w:eastAsia="zh-CN"/>
        </w:rPr>
        <w:t>6.</w:t>
      </w:r>
      <w:r>
        <w:rPr>
          <w:rFonts w:hint="eastAsia"/>
          <w:lang w:eastAsia="zh-CN"/>
        </w:rPr>
        <w:t>2022年11月2日上午，国家主席习近平在人民大会堂会见来华进行正式访问的</w:t>
      </w:r>
      <w:r>
        <w:rPr>
          <w:rFonts w:hint="eastAsia"/>
          <w:b/>
          <w:bCs/>
          <w:lang w:eastAsia="zh-CN"/>
        </w:rPr>
        <w:t>巴基斯坦</w:t>
      </w:r>
      <w:r>
        <w:rPr>
          <w:rFonts w:hint="eastAsia"/>
          <w:lang w:eastAsia="zh-CN"/>
        </w:rPr>
        <w:t>总理夏巴兹。习近平指出，中国和巴基斯坦是好朋友、好伙伴、好兄弟。近年来，两国在世界变局乱局中相互支持、砥砺前行，彰显</w:t>
      </w:r>
      <w:r>
        <w:rPr>
          <w:rFonts w:hint="eastAsia"/>
          <w:b/>
          <w:bCs/>
          <w:lang w:eastAsia="zh-CN"/>
        </w:rPr>
        <w:t>中巴“铁杆”</w:t>
      </w:r>
      <w:r>
        <w:rPr>
          <w:rFonts w:hint="eastAsia"/>
          <w:lang w:eastAsia="zh-CN"/>
        </w:rPr>
        <w:t>情谊。</w:t>
      </w:r>
    </w:p>
    <w:p>
      <w:pPr>
        <w:pStyle w:val="4"/>
        <w:rPr>
          <w:rFonts w:hint="eastAsia"/>
          <w:lang w:eastAsia="zh-CN"/>
        </w:rPr>
      </w:pPr>
      <w:r>
        <w:rPr>
          <w:rFonts w:hint="eastAsia"/>
          <w:lang w:val="en-US" w:eastAsia="zh-CN"/>
        </w:rPr>
        <w:t>7.</w:t>
      </w:r>
      <w:r>
        <w:rPr>
          <w:rFonts w:hint="eastAsia"/>
          <w:lang w:eastAsia="zh-CN"/>
        </w:rPr>
        <w:t>2022年11月2日，</w:t>
      </w:r>
      <w:r>
        <w:rPr>
          <w:rFonts w:hint="eastAsia"/>
          <w:b/>
          <w:bCs/>
          <w:lang w:eastAsia="zh-CN"/>
        </w:rPr>
        <w:t>国务委员兼外长王毅</w:t>
      </w:r>
      <w:r>
        <w:rPr>
          <w:rFonts w:hint="eastAsia"/>
          <w:lang w:eastAsia="zh-CN"/>
        </w:rPr>
        <w:t>应约会见</w:t>
      </w:r>
      <w:r>
        <w:rPr>
          <w:rFonts w:hint="eastAsia"/>
          <w:b/>
          <w:bCs/>
          <w:lang w:eastAsia="zh-CN"/>
        </w:rPr>
        <w:t>巴基斯坦外长比拉瓦尔</w:t>
      </w:r>
      <w:r>
        <w:rPr>
          <w:rFonts w:hint="eastAsia"/>
          <w:lang w:eastAsia="zh-CN"/>
        </w:rPr>
        <w:t>。比拉瓦尔表示二十大制定的发展蓝图将为推动世界和平与发展注入强大正能量。王毅表示，中国的发展是世界和平力量的增长，是全球稳定因素的增强。</w:t>
      </w:r>
    </w:p>
    <w:p>
      <w:pPr>
        <w:pStyle w:val="4"/>
        <w:rPr>
          <w:rFonts w:hint="eastAsia"/>
          <w:lang w:eastAsia="zh-CN"/>
        </w:rPr>
      </w:pPr>
      <w:r>
        <w:rPr>
          <w:rFonts w:hint="eastAsia"/>
          <w:lang w:val="en-US" w:eastAsia="zh-CN"/>
        </w:rPr>
        <w:t>8.</w:t>
      </w:r>
      <w:r>
        <w:rPr>
          <w:rFonts w:hint="eastAsia"/>
          <w:lang w:eastAsia="zh-CN"/>
        </w:rPr>
        <w:t>2022年11月3日电，日前，</w:t>
      </w:r>
      <w:r>
        <w:rPr>
          <w:rFonts w:hint="eastAsia"/>
          <w:b/>
          <w:bCs/>
          <w:lang w:eastAsia="zh-CN"/>
        </w:rPr>
        <w:t>46辆国产宽轨铁路客车</w:t>
      </w:r>
      <w:r>
        <w:rPr>
          <w:rFonts w:hint="eastAsia"/>
          <w:lang w:eastAsia="zh-CN"/>
        </w:rPr>
        <w:t>在天津港装船，发往巴基斯坦。</w:t>
      </w:r>
      <w:r>
        <w:rPr>
          <w:rFonts w:hint="eastAsia"/>
          <w:b/>
          <w:bCs/>
          <w:lang w:eastAsia="zh-CN"/>
        </w:rPr>
        <w:t>这是我国时速160公里铁路客车技术首次国际输出</w:t>
      </w:r>
      <w:r>
        <w:rPr>
          <w:rFonts w:hint="eastAsia"/>
          <w:lang w:eastAsia="zh-CN"/>
        </w:rPr>
        <w:t>。</w:t>
      </w:r>
    </w:p>
    <w:p>
      <w:pPr>
        <w:pStyle w:val="4"/>
        <w:rPr>
          <w:rFonts w:hint="eastAsia"/>
          <w:lang w:eastAsia="zh-CN"/>
        </w:rPr>
      </w:pPr>
      <w:r>
        <w:rPr>
          <w:rFonts w:hint="eastAsia"/>
          <w:lang w:val="en-US" w:eastAsia="zh-CN"/>
        </w:rPr>
        <w:t>9.</w:t>
      </w:r>
      <w:r>
        <w:rPr>
          <w:rFonts w:hint="eastAsia"/>
          <w:lang w:eastAsia="zh-CN"/>
        </w:rPr>
        <w:t>2022年11月3日，国家主席习近平在人民大会堂同来华进行国事访问的</w:t>
      </w:r>
      <w:r>
        <w:rPr>
          <w:rFonts w:hint="eastAsia"/>
          <w:b/>
          <w:bCs/>
          <w:lang w:eastAsia="zh-CN"/>
        </w:rPr>
        <w:t>坦桑尼亚</w:t>
      </w:r>
      <w:r>
        <w:rPr>
          <w:rFonts w:hint="eastAsia"/>
          <w:lang w:eastAsia="zh-CN"/>
        </w:rPr>
        <w:t>总统哈桑举行会谈。两国元首宣布，将</w:t>
      </w:r>
      <w:r>
        <w:rPr>
          <w:rFonts w:hint="eastAsia"/>
          <w:b/>
          <w:bCs/>
          <w:lang w:eastAsia="zh-CN"/>
        </w:rPr>
        <w:t>中坦关系提升为全面战略合作伙伴关系</w:t>
      </w:r>
      <w:r>
        <w:rPr>
          <w:rFonts w:hint="eastAsia"/>
          <w:lang w:eastAsia="zh-CN"/>
        </w:rPr>
        <w:t>。</w:t>
      </w:r>
    </w:p>
    <w:p>
      <w:pPr>
        <w:pStyle w:val="4"/>
        <w:rPr>
          <w:rFonts w:hint="eastAsia"/>
          <w:lang w:eastAsia="zh-CN"/>
        </w:rPr>
      </w:pPr>
      <w:r>
        <w:rPr>
          <w:rFonts w:hint="eastAsia"/>
          <w:lang w:val="en-US" w:eastAsia="zh-CN"/>
        </w:rPr>
        <w:t>10.</w:t>
      </w:r>
      <w:r>
        <w:rPr>
          <w:rFonts w:hint="eastAsia"/>
          <w:lang w:eastAsia="zh-CN"/>
        </w:rPr>
        <w:t>2022年11月4日，应国务院总理李克强邀请，德意志联邦共和国总理奥拉夫·朔尔茨将对中国进行正式访问。</w:t>
      </w:r>
    </w:p>
    <w:p>
      <w:pPr>
        <w:pStyle w:val="4"/>
        <w:rPr>
          <w:rFonts w:hint="eastAsia"/>
          <w:lang w:eastAsia="zh-CN"/>
        </w:rPr>
      </w:pPr>
      <w:r>
        <w:rPr>
          <w:rFonts w:hint="eastAsia"/>
          <w:lang w:val="en-US" w:eastAsia="zh-CN"/>
        </w:rPr>
        <w:t>11.</w:t>
      </w:r>
      <w:r>
        <w:rPr>
          <w:rFonts w:hint="eastAsia"/>
          <w:lang w:eastAsia="zh-CN"/>
        </w:rPr>
        <w:t>2022年11月4日电，</w:t>
      </w:r>
      <w:r>
        <w:rPr>
          <w:rFonts w:hint="eastAsia"/>
          <w:b/>
          <w:bCs/>
          <w:lang w:eastAsia="zh-CN"/>
        </w:rPr>
        <w:t>以色列</w:t>
      </w:r>
      <w:r>
        <w:rPr>
          <w:rFonts w:hint="eastAsia"/>
          <w:lang w:eastAsia="zh-CN"/>
        </w:rPr>
        <w:t>在</w:t>
      </w:r>
      <w:r>
        <w:rPr>
          <w:rFonts w:hint="eastAsia"/>
          <w:b/>
          <w:bCs/>
          <w:lang w:eastAsia="zh-CN"/>
        </w:rPr>
        <w:t>2022年联合国气候变化大会第27次缔约方会议</w:t>
      </w:r>
      <w:r>
        <w:rPr>
          <w:rFonts w:hint="eastAsia"/>
          <w:lang w:eastAsia="zh-CN"/>
        </w:rPr>
        <w:t>(</w:t>
      </w:r>
      <w:r>
        <w:rPr>
          <w:rFonts w:hint="eastAsia"/>
          <w:b/>
          <w:bCs/>
          <w:u w:val="none"/>
          <w:lang w:eastAsia="zh-CN"/>
        </w:rPr>
        <w:t>COP27</w:t>
      </w:r>
      <w:r>
        <w:rPr>
          <w:rFonts w:hint="eastAsia"/>
          <w:lang w:eastAsia="zh-CN"/>
        </w:rPr>
        <w:t>)期间，将</w:t>
      </w:r>
      <w:r>
        <w:rPr>
          <w:rFonts w:hint="eastAsia"/>
          <w:b/>
          <w:bCs/>
          <w:lang w:eastAsia="zh-CN"/>
        </w:rPr>
        <w:t>首次设立以色列馆</w:t>
      </w:r>
      <w:r>
        <w:rPr>
          <w:rFonts w:hint="eastAsia"/>
          <w:lang w:eastAsia="zh-CN"/>
        </w:rPr>
        <w:t>。该馆将专注于气候创新和解决方案，并将举办数十场旨在推动中东地区国际和区域合作的相关活动。</w:t>
      </w:r>
    </w:p>
    <w:p>
      <w:pPr>
        <w:pStyle w:val="4"/>
        <w:rPr>
          <w:rFonts w:hint="eastAsia"/>
          <w:lang w:eastAsia="zh-CN"/>
        </w:rPr>
      </w:pPr>
      <w:r>
        <w:rPr>
          <w:rFonts w:hint="eastAsia"/>
          <w:lang w:val="en-US" w:eastAsia="zh-CN"/>
        </w:rPr>
        <w:t>12.</w:t>
      </w:r>
      <w:r>
        <w:rPr>
          <w:rFonts w:hint="eastAsia"/>
          <w:lang w:eastAsia="zh-CN"/>
        </w:rPr>
        <w:t>2022年11月4日电</w:t>
      </w:r>
      <w:r>
        <w:rPr>
          <w:rFonts w:hint="eastAsia"/>
          <w:b/>
          <w:bCs/>
          <w:lang w:eastAsia="zh-CN"/>
        </w:rPr>
        <w:t>，第77届联合国大会裁军与国际安全委员</w:t>
      </w:r>
      <w:r>
        <w:rPr>
          <w:rFonts w:hint="eastAsia"/>
          <w:lang w:eastAsia="zh-CN"/>
        </w:rPr>
        <w:t>会11月1日和3日先后表决通过</w:t>
      </w:r>
      <w:r>
        <w:rPr>
          <w:rFonts w:hint="eastAsia"/>
          <w:b/>
          <w:bCs/>
          <w:lang w:eastAsia="zh-CN"/>
        </w:rPr>
        <w:t>“防止外空军备竞赛的进一步切实措施”“不首先在外空放置武器”“从国际安全角度看信息和电信领域的发展”</w:t>
      </w:r>
      <w:r>
        <w:rPr>
          <w:rFonts w:hint="eastAsia"/>
          <w:lang w:eastAsia="zh-CN"/>
        </w:rPr>
        <w:t>三项决议，其中均</w:t>
      </w:r>
      <w:r>
        <w:rPr>
          <w:rFonts w:hint="eastAsia"/>
          <w:b/>
          <w:bCs/>
          <w:lang w:eastAsia="zh-CN"/>
        </w:rPr>
        <w:t>写入中国提出的人类命运共同体理念</w:t>
      </w:r>
      <w:r>
        <w:rPr>
          <w:rFonts w:hint="eastAsia"/>
          <w:lang w:eastAsia="zh-CN"/>
        </w:rPr>
        <w:t>。</w:t>
      </w:r>
    </w:p>
    <w:p>
      <w:pPr>
        <w:pStyle w:val="4"/>
        <w:rPr>
          <w:rFonts w:hint="eastAsia"/>
          <w:lang w:eastAsia="zh-CN"/>
        </w:rPr>
      </w:pPr>
      <w:r>
        <w:rPr>
          <w:rFonts w:hint="eastAsia"/>
          <w:lang w:val="en-US" w:eastAsia="zh-CN"/>
        </w:rPr>
        <w:t>13.</w:t>
      </w:r>
      <w:r>
        <w:rPr>
          <w:rFonts w:hint="eastAsia"/>
          <w:lang w:eastAsia="zh-CN"/>
        </w:rPr>
        <w:t>当地时间11月5日，</w:t>
      </w:r>
      <w:r>
        <w:rPr>
          <w:rFonts w:hint="eastAsia"/>
          <w:b/>
          <w:bCs/>
          <w:lang w:eastAsia="zh-CN"/>
        </w:rPr>
        <w:t>2022—2023赛季国际滑联短道速滑世界杯盐湖城站</w:t>
      </w:r>
      <w:r>
        <w:rPr>
          <w:rFonts w:hint="eastAsia"/>
          <w:lang w:eastAsia="zh-CN"/>
        </w:rPr>
        <w:t>比赛中，由李文龙、张楚桐、钟宇晨和王欣然组成的中国队，勇夺</w:t>
      </w:r>
      <w:r>
        <w:rPr>
          <w:rFonts w:hint="eastAsia"/>
          <w:b/>
          <w:bCs/>
          <w:lang w:eastAsia="zh-CN"/>
        </w:rPr>
        <w:t>混合团体接力金牌</w:t>
      </w:r>
      <w:r>
        <w:rPr>
          <w:rFonts w:hint="eastAsia"/>
          <w:lang w:eastAsia="zh-CN"/>
        </w:rPr>
        <w:t>。这是</w:t>
      </w:r>
      <w:r>
        <w:rPr>
          <w:rFonts w:hint="eastAsia"/>
          <w:b/>
          <w:bCs/>
          <w:lang w:eastAsia="zh-CN"/>
        </w:rPr>
        <w:t>中国队在本赛季世界杯比赛</w:t>
      </w:r>
      <w:r>
        <w:rPr>
          <w:rFonts w:hint="eastAsia"/>
          <w:lang w:eastAsia="zh-CN"/>
        </w:rPr>
        <w:t>中收获的</w:t>
      </w:r>
      <w:r>
        <w:rPr>
          <w:rFonts w:hint="eastAsia"/>
          <w:b/>
          <w:bCs/>
          <w:lang w:eastAsia="zh-CN"/>
        </w:rPr>
        <w:t>首枚金牌</w:t>
      </w:r>
      <w:r>
        <w:rPr>
          <w:rFonts w:hint="eastAsia"/>
          <w:lang w:eastAsia="zh-CN"/>
        </w:rPr>
        <w:t>。</w:t>
      </w:r>
    </w:p>
    <w:p>
      <w:pPr>
        <w:bidi w:val="0"/>
        <w:rPr>
          <w:rFonts w:hint="eastAsia"/>
          <w:lang w:eastAsia="zh-CN"/>
        </w:rPr>
      </w:pPr>
      <w:r>
        <w:rPr>
          <w:rFonts w:hint="eastAsia"/>
          <w:lang w:val="en-US" w:eastAsia="zh-CN"/>
        </w:rPr>
        <w:t>14.</w:t>
      </w:r>
      <w:r>
        <w:rPr>
          <w:rFonts w:hint="eastAsia"/>
          <w:lang w:eastAsia="zh-CN"/>
        </w:rPr>
        <w:t>2022年11月6日，</w:t>
      </w:r>
      <w:r>
        <w:rPr>
          <w:rFonts w:hint="eastAsia"/>
          <w:b/>
          <w:bCs/>
          <w:lang w:eastAsia="zh-CN"/>
        </w:rPr>
        <w:t>第51届世界体操锦标赛</w:t>
      </w:r>
      <w:r>
        <w:rPr>
          <w:rFonts w:hint="eastAsia"/>
          <w:lang w:eastAsia="zh-CN"/>
        </w:rPr>
        <w:t>，中国队</w:t>
      </w:r>
      <w:r>
        <w:rPr>
          <w:rFonts w:hint="eastAsia"/>
          <w:b/>
          <w:bCs/>
          <w:color w:val="auto"/>
          <w:lang w:eastAsia="zh-CN"/>
        </w:rPr>
        <w:t>韦筱圆</w:t>
      </w:r>
      <w:r>
        <w:rPr>
          <w:rFonts w:hint="eastAsia"/>
          <w:b w:val="0"/>
          <w:bCs w:val="0"/>
          <w:lang w:eastAsia="zh-CN"/>
        </w:rPr>
        <w:t>蝉联女子高低杠冠军</w:t>
      </w:r>
      <w:r>
        <w:rPr>
          <w:rFonts w:hint="eastAsia"/>
          <w:lang w:eastAsia="zh-CN"/>
        </w:rPr>
        <w:t>；中国队</w:t>
      </w:r>
      <w:r>
        <w:rPr>
          <w:rFonts w:hint="eastAsia"/>
          <w:b/>
          <w:bCs/>
          <w:lang w:eastAsia="zh-CN"/>
        </w:rPr>
        <w:t>邹敬园</w:t>
      </w:r>
      <w:r>
        <w:rPr>
          <w:rFonts w:hint="eastAsia"/>
          <w:lang w:eastAsia="zh-CN"/>
        </w:rPr>
        <w:t>获得男子</w:t>
      </w:r>
      <w:r>
        <w:rPr>
          <w:rFonts w:hint="eastAsia"/>
          <w:b/>
          <w:bCs/>
          <w:lang w:eastAsia="zh-CN"/>
        </w:rPr>
        <w:t>吊环银牌</w:t>
      </w:r>
      <w:r>
        <w:rPr>
          <w:rFonts w:hint="eastAsia"/>
          <w:lang w:eastAsia="zh-CN"/>
        </w:rPr>
        <w:t>。</w:t>
      </w:r>
    </w:p>
    <w:p>
      <w:pPr>
        <w:pStyle w:val="4"/>
        <w:rPr>
          <w:rFonts w:hint="eastAsia"/>
          <w:lang w:eastAsia="zh-CN"/>
        </w:rPr>
      </w:pPr>
      <w:r>
        <w:rPr>
          <w:rFonts w:hint="eastAsia"/>
          <w:lang w:val="en-US" w:eastAsia="zh-CN"/>
        </w:rPr>
        <w:t>15.</w:t>
      </w:r>
      <w:r>
        <w:rPr>
          <w:rFonts w:hint="eastAsia"/>
          <w:lang w:eastAsia="zh-CN"/>
        </w:rPr>
        <w:t>2022年11月6日，习近平同</w:t>
      </w:r>
      <w:r>
        <w:rPr>
          <w:rFonts w:hint="eastAsia"/>
          <w:b/>
          <w:bCs/>
          <w:lang w:eastAsia="zh-CN"/>
        </w:rPr>
        <w:t>马达加斯加</w:t>
      </w:r>
      <w:r>
        <w:rPr>
          <w:rFonts w:hint="eastAsia"/>
          <w:lang w:eastAsia="zh-CN"/>
        </w:rPr>
        <w:t>总统拉乔利纳互致贺电，庆祝</w:t>
      </w:r>
      <w:r>
        <w:rPr>
          <w:rFonts w:hint="eastAsia"/>
          <w:b/>
          <w:bCs/>
          <w:lang w:eastAsia="zh-CN"/>
        </w:rPr>
        <w:t>两国建交50周年</w:t>
      </w:r>
      <w:r>
        <w:rPr>
          <w:rFonts w:hint="eastAsia"/>
          <w:lang w:eastAsia="zh-CN"/>
        </w:rPr>
        <w:t>。</w:t>
      </w:r>
    </w:p>
    <w:p>
      <w:pPr>
        <w:pStyle w:val="4"/>
        <w:rPr>
          <w:rFonts w:hint="eastAsia"/>
          <w:lang w:eastAsia="zh-CN"/>
        </w:rPr>
      </w:pPr>
      <w:r>
        <w:rPr>
          <w:rFonts w:hint="eastAsia"/>
          <w:lang w:val="en-US" w:eastAsia="zh-CN"/>
        </w:rPr>
        <w:t>16.</w:t>
      </w:r>
      <w:r>
        <w:rPr>
          <w:rFonts w:hint="eastAsia"/>
          <w:lang w:eastAsia="zh-CN"/>
        </w:rPr>
        <w:t>2022年11月6日，</w:t>
      </w:r>
      <w:r>
        <w:rPr>
          <w:rFonts w:hint="eastAsia"/>
          <w:b/>
          <w:bCs/>
          <w:lang w:eastAsia="zh-CN"/>
        </w:rPr>
        <w:t>《联合国气候变化框架公约》第二十七次缔约方大会</w:t>
      </w:r>
      <w:r>
        <w:rPr>
          <w:rFonts w:hint="eastAsia"/>
          <w:lang w:eastAsia="zh-CN"/>
        </w:rPr>
        <w:t>在</w:t>
      </w:r>
      <w:r>
        <w:rPr>
          <w:rFonts w:hint="eastAsia"/>
          <w:b/>
          <w:bCs/>
          <w:lang w:eastAsia="zh-CN"/>
        </w:rPr>
        <w:t>埃及</w:t>
      </w:r>
      <w:r>
        <w:rPr>
          <w:rFonts w:hint="eastAsia"/>
          <w:lang w:eastAsia="zh-CN"/>
        </w:rPr>
        <w:t>海滨城市</w:t>
      </w:r>
      <w:r>
        <w:rPr>
          <w:rFonts w:hint="eastAsia"/>
          <w:b/>
          <w:bCs/>
          <w:lang w:eastAsia="zh-CN"/>
        </w:rPr>
        <w:t>沙姆沙伊赫</w:t>
      </w:r>
      <w:r>
        <w:rPr>
          <w:rFonts w:hint="eastAsia"/>
          <w:lang w:eastAsia="zh-CN"/>
        </w:rPr>
        <w:t>开幕。</w:t>
      </w:r>
    </w:p>
    <w:p>
      <w:pPr>
        <w:rPr>
          <w:rFonts w:hint="eastAsia"/>
          <w:lang w:eastAsia="zh-CN"/>
        </w:rPr>
      </w:pPr>
      <w:r>
        <w:rPr>
          <w:rFonts w:hint="eastAsia"/>
          <w:lang w:val="en-US" w:eastAsia="zh-CN"/>
        </w:rPr>
        <w:t>17.</w:t>
      </w:r>
      <w:r>
        <w:rPr>
          <w:rFonts w:hint="eastAsia" w:eastAsia="宋体"/>
          <w:lang w:eastAsia="zh-CN"/>
        </w:rPr>
        <w:t>当地时间11月6日，中国选手</w:t>
      </w:r>
      <w:r>
        <w:rPr>
          <w:rFonts w:hint="eastAsia" w:eastAsia="宋体"/>
          <w:b/>
          <w:bCs/>
          <w:lang w:eastAsia="zh-CN"/>
        </w:rPr>
        <w:t>邹敬园</w:t>
      </w:r>
      <w:r>
        <w:rPr>
          <w:rFonts w:hint="eastAsia" w:eastAsia="宋体"/>
          <w:lang w:eastAsia="zh-CN"/>
        </w:rPr>
        <w:t>夺得</w:t>
      </w:r>
      <w:r>
        <w:rPr>
          <w:rFonts w:hint="eastAsia" w:eastAsia="宋体"/>
          <w:b/>
          <w:bCs/>
          <w:lang w:eastAsia="zh-CN"/>
        </w:rPr>
        <w:t>世界体操锦标赛男子双杠项目冠军</w:t>
      </w:r>
      <w:r>
        <w:rPr>
          <w:rFonts w:hint="eastAsia" w:eastAsia="宋体"/>
          <w:lang w:eastAsia="zh-CN"/>
        </w:rPr>
        <w:t>。</w:t>
      </w:r>
    </w:p>
    <w:p>
      <w:pPr>
        <w:rPr>
          <w:rFonts w:hint="eastAsia"/>
          <w:b/>
          <w:bCs/>
          <w:lang w:eastAsia="zh-CN"/>
        </w:rPr>
      </w:pPr>
      <w:r>
        <w:rPr>
          <w:rFonts w:hint="eastAsia"/>
          <w:lang w:val="en-US" w:eastAsia="zh-CN"/>
        </w:rPr>
        <w:t>18.</w:t>
      </w:r>
      <w:r>
        <w:rPr>
          <w:rFonts w:hint="eastAsia" w:eastAsia="宋体"/>
          <w:lang w:eastAsia="zh-CN"/>
        </w:rPr>
        <w:t>2022年11月8日，</w:t>
      </w:r>
      <w:r>
        <w:rPr>
          <w:rFonts w:hint="eastAsia" w:eastAsia="宋体"/>
          <w:b/>
          <w:bCs/>
          <w:lang w:eastAsia="zh-CN"/>
        </w:rPr>
        <w:t>首趟境内外全程时刻表中欧班列抵达德国杜伊斯堡</w:t>
      </w:r>
      <w:r>
        <w:rPr>
          <w:rFonts w:hint="eastAsia" w:eastAsia="宋体"/>
          <w:lang w:eastAsia="zh-CN"/>
        </w:rPr>
        <w:t>。其顺利抵达标志着中欧班列中国段、宽轨段、欧洲段运行时刻表首次实现全程贯通，运输时间有了更加稳定的预期，</w:t>
      </w:r>
      <w:r>
        <w:rPr>
          <w:rFonts w:hint="eastAsia" w:eastAsia="宋体"/>
          <w:b/>
          <w:bCs/>
          <w:lang w:eastAsia="zh-CN"/>
        </w:rPr>
        <w:t>中欧班列高质量发展迈入新阶段。</w:t>
      </w:r>
    </w:p>
    <w:p>
      <w:pPr>
        <w:bidi w:val="0"/>
        <w:rPr>
          <w:rFonts w:hint="eastAsia"/>
          <w:lang w:eastAsia="zh-CN"/>
        </w:rPr>
      </w:pPr>
      <w:r>
        <w:rPr>
          <w:rFonts w:hint="eastAsia"/>
          <w:lang w:val="en-US" w:eastAsia="zh-CN"/>
        </w:rPr>
        <w:t>19.</w:t>
      </w:r>
      <w:r>
        <w:rPr>
          <w:rFonts w:hint="eastAsia" w:eastAsia="宋体"/>
          <w:lang w:eastAsia="zh-CN"/>
        </w:rPr>
        <w:t>2022年11月8日，中共中央对外联络部以线上线下相结合方式举办</w:t>
      </w:r>
      <w:r>
        <w:rPr>
          <w:rFonts w:hint="eastAsia" w:eastAsia="宋体"/>
          <w:b/>
          <w:bCs/>
          <w:lang w:eastAsia="zh-CN"/>
        </w:rPr>
        <w:t>第三届中国—阿拉伯国家政党对话会</w:t>
      </w:r>
      <w:r>
        <w:rPr>
          <w:rFonts w:hint="eastAsia" w:eastAsia="宋体"/>
          <w:lang w:eastAsia="zh-CN"/>
        </w:rPr>
        <w:t>。</w:t>
      </w:r>
    </w:p>
    <w:p>
      <w:pPr>
        <w:bidi w:val="0"/>
        <w:rPr>
          <w:rFonts w:hint="eastAsia"/>
          <w:lang w:eastAsia="zh-CN"/>
        </w:rPr>
      </w:pPr>
      <w:r>
        <w:rPr>
          <w:rFonts w:hint="eastAsia"/>
          <w:lang w:val="en-US" w:eastAsia="zh-CN"/>
        </w:rPr>
        <w:t>20.</w:t>
      </w:r>
      <w:r>
        <w:rPr>
          <w:rFonts w:hint="eastAsia" w:eastAsia="宋体"/>
          <w:lang w:eastAsia="zh-CN"/>
        </w:rPr>
        <w:t>2022年11月9日电，近日，联合国大会通过决议，指定</w:t>
      </w:r>
      <w:r>
        <w:rPr>
          <w:rFonts w:hint="eastAsia" w:eastAsia="宋体"/>
          <w:b/>
          <w:bCs/>
          <w:lang w:eastAsia="zh-CN"/>
        </w:rPr>
        <w:t>每年11月18日</w:t>
      </w:r>
      <w:r>
        <w:rPr>
          <w:rFonts w:hint="eastAsia" w:eastAsia="宋体"/>
          <w:lang w:eastAsia="zh-CN"/>
        </w:rPr>
        <w:t>为</w:t>
      </w:r>
      <w:r>
        <w:rPr>
          <w:rFonts w:hint="eastAsia" w:eastAsia="宋体"/>
          <w:b/>
          <w:bCs/>
          <w:lang w:eastAsia="zh-CN"/>
        </w:rPr>
        <w:t>“防止儿童性剥削、性虐待和性暴力及促进受害者疗愈世界日”。</w:t>
      </w:r>
    </w:p>
    <w:p>
      <w:pPr>
        <w:rPr>
          <w:rFonts w:hint="eastAsia" w:eastAsia="宋体"/>
          <w:lang w:eastAsia="zh-CN"/>
        </w:rPr>
      </w:pPr>
      <w:r>
        <w:rPr>
          <w:rFonts w:hint="eastAsia"/>
          <w:lang w:val="en-US" w:eastAsia="zh-CN"/>
        </w:rPr>
        <w:t>21.</w:t>
      </w:r>
      <w:r>
        <w:rPr>
          <w:rFonts w:hint="eastAsia" w:eastAsia="宋体"/>
          <w:lang w:eastAsia="zh-CN"/>
        </w:rPr>
        <w:t>2022年11月10日电，</w:t>
      </w:r>
      <w:r>
        <w:rPr>
          <w:rFonts w:hint="eastAsia" w:eastAsia="宋体"/>
          <w:b/>
          <w:bCs/>
          <w:lang w:eastAsia="zh-CN"/>
        </w:rPr>
        <w:t>“中欧青年科学家对话未来”活动</w:t>
      </w:r>
      <w:r>
        <w:rPr>
          <w:rFonts w:hint="eastAsia" w:eastAsia="宋体"/>
          <w:lang w:eastAsia="zh-CN"/>
        </w:rPr>
        <w:t>,在布鲁塞尔举行。这是2022世界青年科学家峰会的欧洲专场活动。会议通过的《联合行动倡议》围绕</w:t>
      </w:r>
      <w:r>
        <w:rPr>
          <w:rFonts w:hint="eastAsia" w:eastAsia="宋体"/>
          <w:b/>
          <w:bCs/>
          <w:lang w:eastAsia="zh-CN"/>
        </w:rPr>
        <w:t>“汇聚世界人才，共创美好未来”</w:t>
      </w:r>
      <w:r>
        <w:rPr>
          <w:rFonts w:hint="eastAsia" w:eastAsia="宋体"/>
          <w:lang w:eastAsia="zh-CN"/>
        </w:rPr>
        <w:t>这一主题，提出了一系列具体行动。</w:t>
      </w:r>
    </w:p>
    <w:p>
      <w:pPr>
        <w:rPr>
          <w:rFonts w:hint="eastAsia"/>
          <w:lang w:eastAsia="zh-CN"/>
        </w:rPr>
      </w:pPr>
      <w:r>
        <w:rPr>
          <w:rFonts w:hint="eastAsia"/>
          <w:lang w:val="en-US" w:eastAsia="zh-CN"/>
        </w:rPr>
        <w:t>22.</w:t>
      </w:r>
      <w:r>
        <w:rPr>
          <w:rFonts w:hint="eastAsia" w:eastAsia="宋体"/>
          <w:lang w:eastAsia="zh-CN"/>
        </w:rPr>
        <w:t>2022年11月10日电，近日，美国国家航空航天局宣布，受热带风暴“妮科尔”影响，原定于14日的新一代登月火箭“太空发射系统”发射计划推迟至16日。</w:t>
      </w:r>
    </w:p>
    <w:p>
      <w:pPr>
        <w:bidi w:val="0"/>
        <w:rPr>
          <w:rFonts w:hint="eastAsia"/>
          <w:lang w:eastAsia="zh-CN"/>
        </w:rPr>
      </w:pPr>
      <w:r>
        <w:rPr>
          <w:rFonts w:hint="eastAsia"/>
          <w:lang w:val="en-US" w:eastAsia="zh-CN"/>
        </w:rPr>
        <w:t>23.</w:t>
      </w:r>
      <w:r>
        <w:rPr>
          <w:rFonts w:hint="eastAsia" w:eastAsia="宋体"/>
          <w:lang w:eastAsia="zh-CN"/>
        </w:rPr>
        <w:t>2022年11月11日电，据俄罗斯驻印尼大使馆消息，俄罗斯总统普京将</w:t>
      </w:r>
      <w:r>
        <w:rPr>
          <w:rFonts w:hint="eastAsia" w:eastAsia="宋体"/>
          <w:b/>
          <w:bCs/>
          <w:lang w:eastAsia="zh-CN"/>
        </w:rPr>
        <w:t>不会出席G20峰会</w:t>
      </w:r>
      <w:r>
        <w:rPr>
          <w:rFonts w:hint="eastAsia" w:eastAsia="宋体"/>
          <w:lang w:eastAsia="zh-CN"/>
        </w:rPr>
        <w:t>。</w:t>
      </w:r>
    </w:p>
    <w:p>
      <w:pPr>
        <w:bidi w:val="0"/>
        <w:rPr>
          <w:rFonts w:hint="eastAsia" w:eastAsia="宋体"/>
          <w:lang w:eastAsia="zh-CN"/>
        </w:rPr>
      </w:pPr>
      <w:r>
        <w:rPr>
          <w:rFonts w:hint="eastAsia"/>
          <w:lang w:val="en-US" w:eastAsia="zh-CN"/>
        </w:rPr>
        <w:t>24.</w:t>
      </w:r>
      <w:r>
        <w:rPr>
          <w:rFonts w:hint="eastAsia" w:eastAsia="宋体"/>
          <w:lang w:eastAsia="zh-CN"/>
        </w:rPr>
        <w:t>当地时间10日，</w:t>
      </w:r>
      <w:r>
        <w:rPr>
          <w:rFonts w:hint="eastAsia" w:eastAsia="宋体"/>
          <w:b/>
          <w:bCs/>
          <w:lang w:eastAsia="zh-CN"/>
        </w:rPr>
        <w:t>伊朗</w:t>
      </w:r>
      <w:r>
        <w:rPr>
          <w:rFonts w:hint="eastAsia" w:eastAsia="宋体"/>
          <w:lang w:eastAsia="zh-CN"/>
        </w:rPr>
        <w:t>伊斯兰革命卫队空天部队司令宣布，</w:t>
      </w:r>
      <w:r>
        <w:rPr>
          <w:rFonts w:hint="eastAsia" w:eastAsia="宋体"/>
          <w:b/>
          <w:bCs/>
          <w:lang w:eastAsia="zh-CN"/>
        </w:rPr>
        <w:t>伊朗已经制造出一种国产新型高超音速弹道导弹。</w:t>
      </w:r>
    </w:p>
    <w:p>
      <w:pPr>
        <w:bidi w:val="0"/>
        <w:rPr>
          <w:rFonts w:hint="eastAsia"/>
          <w:lang w:eastAsia="zh-CN"/>
        </w:rPr>
      </w:pPr>
      <w:r>
        <w:rPr>
          <w:rFonts w:hint="eastAsia"/>
          <w:lang w:val="en-US" w:eastAsia="zh-CN"/>
        </w:rPr>
        <w:t>25.</w:t>
      </w:r>
      <w:r>
        <w:rPr>
          <w:rFonts w:hint="eastAsia"/>
          <w:lang w:eastAsia="zh-CN"/>
        </w:rPr>
        <w:t>2022年11月11日电，11月8日至9日，</w:t>
      </w:r>
      <w:r>
        <w:rPr>
          <w:rFonts w:hint="eastAsia"/>
          <w:b/>
          <w:bCs/>
          <w:lang w:eastAsia="zh-CN"/>
        </w:rPr>
        <w:t>第二届“中国+中亚五国”智库论坛以线上线下相结合的方式举行</w:t>
      </w:r>
      <w:r>
        <w:rPr>
          <w:rFonts w:hint="eastAsia"/>
          <w:lang w:eastAsia="zh-CN"/>
        </w:rPr>
        <w:t>。此次论坛主题为</w:t>
      </w:r>
      <w:r>
        <w:rPr>
          <w:rFonts w:hint="eastAsia"/>
          <w:b/>
          <w:bCs/>
          <w:lang w:eastAsia="zh-CN"/>
        </w:rPr>
        <w:t>“中国与中亚：走向共同发展的新路径”</w:t>
      </w:r>
      <w:r>
        <w:rPr>
          <w:rFonts w:hint="eastAsia"/>
          <w:lang w:eastAsia="zh-CN"/>
        </w:rPr>
        <w:t>。</w:t>
      </w:r>
    </w:p>
    <w:p>
      <w:pPr>
        <w:bidi w:val="0"/>
        <w:rPr>
          <w:rFonts w:hint="eastAsia"/>
          <w:lang w:eastAsia="zh-CN"/>
        </w:rPr>
      </w:pPr>
      <w:r>
        <w:rPr>
          <w:rFonts w:hint="eastAsia"/>
          <w:lang w:val="en-US" w:eastAsia="zh-CN"/>
        </w:rPr>
        <w:t>26.</w:t>
      </w:r>
      <w:r>
        <w:rPr>
          <w:rFonts w:hint="eastAsia"/>
          <w:lang w:eastAsia="zh-CN"/>
        </w:rPr>
        <w:t>2022年7日至11日，非洲规模最大、最具影响力的科技展会</w:t>
      </w:r>
      <w:r>
        <w:rPr>
          <w:rFonts w:hint="eastAsia"/>
          <w:b/>
          <w:bCs/>
          <w:lang w:eastAsia="zh-CN"/>
        </w:rPr>
        <w:t>非洲科技节</w:t>
      </w:r>
      <w:r>
        <w:rPr>
          <w:rFonts w:hint="eastAsia"/>
          <w:lang w:eastAsia="zh-CN"/>
        </w:rPr>
        <w:t>在</w:t>
      </w:r>
      <w:r>
        <w:rPr>
          <w:rFonts w:hint="eastAsia"/>
          <w:b/>
          <w:bCs/>
          <w:lang w:eastAsia="zh-CN"/>
        </w:rPr>
        <w:t>南非</w:t>
      </w:r>
      <w:r>
        <w:rPr>
          <w:rFonts w:hint="eastAsia"/>
          <w:lang w:eastAsia="zh-CN"/>
        </w:rPr>
        <w:t>海滨城市</w:t>
      </w:r>
      <w:r>
        <w:rPr>
          <w:rFonts w:hint="eastAsia"/>
          <w:b/>
          <w:bCs/>
          <w:lang w:eastAsia="zh-CN"/>
        </w:rPr>
        <w:t>开普敦</w:t>
      </w:r>
      <w:r>
        <w:rPr>
          <w:rFonts w:hint="eastAsia"/>
          <w:lang w:eastAsia="zh-CN"/>
        </w:rPr>
        <w:t>举行。科技节期间，来自中国的科技企业与南非本地企业签署合作备忘录，协力推进南非互联网数据中心建设，共同驱动非洲数字化转型升级。</w:t>
      </w:r>
    </w:p>
    <w:p>
      <w:pPr>
        <w:bidi w:val="0"/>
        <w:rPr>
          <w:rFonts w:hint="eastAsia"/>
          <w:lang w:eastAsia="zh-CN"/>
        </w:rPr>
      </w:pPr>
      <w:r>
        <w:rPr>
          <w:rFonts w:hint="eastAsia"/>
          <w:lang w:val="en-US" w:eastAsia="zh-CN"/>
        </w:rPr>
        <w:t>27.</w:t>
      </w:r>
      <w:r>
        <w:rPr>
          <w:rFonts w:hint="eastAsia"/>
          <w:lang w:eastAsia="zh-CN"/>
        </w:rPr>
        <w:t>据外媒报道，经过5年的修复，</w:t>
      </w:r>
      <w:r>
        <w:rPr>
          <w:rFonts w:hint="eastAsia"/>
          <w:b/>
          <w:bCs/>
          <w:lang w:eastAsia="zh-CN"/>
        </w:rPr>
        <w:t>英国伦敦地标性建筑——大本钟</w:t>
      </w:r>
      <w:r>
        <w:rPr>
          <w:rFonts w:hint="eastAsia"/>
          <w:lang w:eastAsia="zh-CN"/>
        </w:rPr>
        <w:t>于当地时间13日11时敲响并恢复日常运行。</w:t>
      </w:r>
    </w:p>
    <w:p>
      <w:pPr>
        <w:pStyle w:val="4"/>
        <w:rPr>
          <w:rFonts w:hint="eastAsia"/>
          <w:lang w:eastAsia="zh-CN"/>
        </w:rPr>
      </w:pPr>
      <w:r>
        <w:rPr>
          <w:rFonts w:hint="eastAsia"/>
          <w:lang w:val="en-US" w:eastAsia="zh-CN"/>
        </w:rPr>
        <w:t>28.</w:t>
      </w:r>
      <w:r>
        <w:rPr>
          <w:rFonts w:hint="eastAsia"/>
          <w:lang w:eastAsia="zh-CN"/>
        </w:rPr>
        <w:t>2022年11月14日电，以色列总统赫尔佐格13日正式授权前总理、利库德集团领导人内塔尼亚胡组建新政府。</w:t>
      </w:r>
    </w:p>
    <w:p>
      <w:pPr>
        <w:pStyle w:val="4"/>
        <w:rPr>
          <w:rFonts w:hint="eastAsia"/>
          <w:lang w:eastAsia="zh-CN"/>
        </w:rPr>
      </w:pPr>
      <w:r>
        <w:rPr>
          <w:rFonts w:hint="eastAsia"/>
          <w:lang w:val="en-US" w:eastAsia="zh-CN"/>
        </w:rPr>
        <w:t>29.</w:t>
      </w:r>
      <w:r>
        <w:rPr>
          <w:rFonts w:hint="eastAsia"/>
          <w:lang w:eastAsia="zh-CN"/>
        </w:rPr>
        <w:t>2022年11月13日上午，国务院总理李克强在</w:t>
      </w:r>
      <w:r>
        <w:rPr>
          <w:rFonts w:hint="eastAsia"/>
          <w:b/>
          <w:bCs/>
          <w:lang w:eastAsia="zh-CN"/>
        </w:rPr>
        <w:t>柬埔寨金边</w:t>
      </w:r>
      <w:r>
        <w:rPr>
          <w:rFonts w:hint="eastAsia"/>
          <w:lang w:eastAsia="zh-CN"/>
        </w:rPr>
        <w:t>出席</w:t>
      </w:r>
      <w:r>
        <w:rPr>
          <w:rFonts w:hint="eastAsia"/>
          <w:b/>
          <w:bCs/>
          <w:lang w:eastAsia="zh-CN"/>
        </w:rPr>
        <w:t>第17届东亚峰会</w:t>
      </w:r>
      <w:r>
        <w:rPr>
          <w:rFonts w:hint="eastAsia"/>
          <w:lang w:eastAsia="zh-CN"/>
        </w:rPr>
        <w:t>。李克强表示，地区国家应坚持相互尊重，深化互利合作，携手应对风险挑战。李克强提出三点倡议：</w:t>
      </w:r>
      <w:r>
        <w:rPr>
          <w:rFonts w:hint="eastAsia"/>
          <w:b/>
          <w:bCs/>
          <w:lang w:eastAsia="zh-CN"/>
        </w:rPr>
        <w:t>一是坚持战略对话，开展建设性互动。二是坚持互利合作，携手应对风险挑战。三是坚持东盟中心地位，构建包容性区域架构。</w:t>
      </w:r>
    </w:p>
    <w:p>
      <w:pPr>
        <w:rPr>
          <w:rFonts w:hint="eastAsia"/>
          <w:lang w:eastAsia="zh-CN"/>
        </w:rPr>
      </w:pPr>
    </w:p>
    <w:p>
      <w:pPr>
        <w:pStyle w:val="8"/>
        <w:bidi w:val="0"/>
        <w:rPr>
          <w:rFonts w:hint="eastAsia"/>
          <w:color w:val="FFFFFF" w:themeColor="background1"/>
          <w:lang w:eastAsia="zh-CN"/>
          <w14:textFill>
            <w14:solidFill>
              <w14:schemeClr w14:val="bg1"/>
            </w14:solidFill>
          </w14:textFill>
        </w:rPr>
      </w:pPr>
      <w:bookmarkStart w:id="0" w:name="_GoBack"/>
      <w:bookmarkEnd w:id="0"/>
      <w:r>
        <w:rPr>
          <w:rFonts w:hint="eastAsia"/>
          <w:color w:val="FFFFFF" w:themeColor="background1"/>
          <w:lang w:eastAsia="zh-CN"/>
          <w14:textFill>
            <w14:solidFill>
              <w14:schemeClr w14:val="bg1"/>
            </w14:solidFill>
          </w14:textFill>
        </w:rPr>
        <w:t>建交、访问类</w:t>
      </w:r>
    </w:p>
    <w:p>
      <w:pPr>
        <w:pStyle w:val="8"/>
        <w:bidi w:val="0"/>
        <w:rPr>
          <w:rFonts w:hint="eastAsia"/>
          <w:color w:val="FFFFFF" w:themeColor="background1"/>
          <w:lang w:eastAsia="zh-CN"/>
          <w14:textFill>
            <w14:solidFill>
              <w14:schemeClr w14:val="bg1"/>
            </w14:solidFill>
          </w14:textFill>
        </w:rPr>
      </w:pPr>
      <w:r>
        <w:rPr>
          <w:rFonts w:hint="eastAsia"/>
          <w:color w:val="FFFFFF" w:themeColor="background1"/>
          <w:lang w:eastAsia="zh-CN"/>
          <w14:textFill>
            <w14:solidFill>
              <w14:schemeClr w14:val="bg1"/>
            </w14:solidFill>
          </w14:textFill>
        </w:rPr>
        <w:t>人物类</w:t>
      </w:r>
    </w:p>
    <w:p>
      <w:pPr>
        <w:rPr>
          <w:rFonts w:hint="eastAsia"/>
          <w:color w:val="FFFFFF" w:themeColor="background1"/>
          <w:lang w:eastAsia="zh-CN"/>
          <w14:textFill>
            <w14:solidFill>
              <w14:schemeClr w14:val="bg1"/>
            </w14:solidFill>
          </w14:textFill>
        </w:rPr>
      </w:pPr>
    </w:p>
    <w:p>
      <w:pPr>
        <w:pStyle w:val="8"/>
        <w:bidi w:val="0"/>
        <w:rPr>
          <w:rFonts w:hint="eastAsia"/>
          <w:color w:val="FFFFFF" w:themeColor="background1"/>
          <w:lang w:eastAsia="zh-CN"/>
          <w14:textFill>
            <w14:solidFill>
              <w14:schemeClr w14:val="bg1"/>
            </w14:solidFill>
          </w14:textFill>
        </w:rPr>
      </w:pPr>
      <w:r>
        <w:rPr>
          <w:rFonts w:hint="eastAsia"/>
          <w:color w:val="FFFFFF" w:themeColor="background1"/>
          <w:lang w:eastAsia="zh-CN"/>
          <w14:textFill>
            <w14:solidFill>
              <w14:schemeClr w14:val="bg1"/>
            </w14:solidFill>
          </w14:textFill>
        </w:rPr>
        <w:t>其他</w:t>
      </w:r>
    </w:p>
    <w:sectPr>
      <w:headerReference r:id="rId5" w:type="default"/>
      <w:footerReference r:id="rId6" w:type="default"/>
      <w:pgSz w:w="11906" w:h="16838"/>
      <w:pgMar w:top="1871" w:right="1247" w:bottom="1247" w:left="1247"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88" w:lineRule="auto"/>
        <w:ind w:firstLine="420"/>
      </w:pPr>
      <w:r>
        <w:separator/>
      </w:r>
    </w:p>
  </w:footnote>
  <w:footnote w:type="continuationSeparator" w:id="1">
    <w:p>
      <w:pPr>
        <w:spacing w:line="288"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keepNext w:val="0"/>
      <w:keepLines w:val="0"/>
      <w:pageBreakBefore w:val="0"/>
      <w:widowControl w:val="0"/>
      <w:pBdr>
        <w:bottom w:val="single" w:color="auto" w:sz="4" w:space="1"/>
      </w:pBdr>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hint="eastAsia"/>
        <w:sz w:val="18"/>
        <w:lang w:eastAsia="zh-CN"/>
      </w:rPr>
    </w:pPr>
    <w:r>
      <w:rPr>
        <w:sz w:val="18"/>
      </w:rPr>
      <w:drawing>
        <wp:anchor distT="0" distB="0" distL="114300" distR="114300" simplePos="0" relativeHeight="251660288" behindDoc="1" locked="0" layoutInCell="1" allowOverlap="1">
          <wp:simplePos x="0" y="0"/>
          <wp:positionH relativeFrom="margin">
            <wp:posOffset>349885</wp:posOffset>
          </wp:positionH>
          <wp:positionV relativeFrom="margin">
            <wp:posOffset>622300</wp:posOffset>
          </wp:positionV>
          <wp:extent cx="5274310" cy="7461250"/>
          <wp:effectExtent l="0" t="0" r="2540" b="6350"/>
          <wp:wrapNone/>
          <wp:docPr id="26" name="WordPictureWatermark32520" descr="非密集型图片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WordPictureWatermark32520" descr="非密集型图片水印"/>
                  <pic:cNvPicPr>
                    <a:picLocks noChangeAspect="1"/>
                  </pic:cNvPicPr>
                </pic:nvPicPr>
                <pic:blipFill>
                  <a:blip r:embed="rId1">
                    <a:lum bright="69998" contrast="-70001"/>
                  </a:blip>
                  <a:stretch>
                    <a:fillRect/>
                  </a:stretch>
                </pic:blipFill>
                <pic:spPr>
                  <a:xfrm>
                    <a:off x="0" y="0"/>
                    <a:ext cx="5274310" cy="7461250"/>
                  </a:xfrm>
                  <a:prstGeom prst="rect">
                    <a:avLst/>
                  </a:prstGeom>
                  <a:noFill/>
                  <a:ln>
                    <a:noFill/>
                  </a:ln>
                </pic:spPr>
              </pic:pic>
            </a:graphicData>
          </a:graphic>
        </wp:anchor>
      </w:drawing>
    </w:r>
    <w:r>
      <w:rPr>
        <w:rFonts w:hint="eastAsia" w:eastAsia="宋体"/>
        <w:color w:val="C00000"/>
        <w:u w:val="none"/>
        <w:lang w:eastAsia="zh-CN"/>
      </w:rPr>
      <w:drawing>
        <wp:inline distT="0" distB="0" distL="114300" distR="114300">
          <wp:extent cx="1532255" cy="373380"/>
          <wp:effectExtent l="0" t="0" r="10795" b="7620"/>
          <wp:docPr id="25" name="图片 2" descr="展鸿教育logo（横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 descr="展鸿教育logo（横版）"/>
                  <pic:cNvPicPr>
                    <a:picLocks noChangeAspect="1"/>
                  </pic:cNvPicPr>
                </pic:nvPicPr>
                <pic:blipFill>
                  <a:blip r:embed="rId2"/>
                  <a:srcRect b="-5042"/>
                  <a:stretch>
                    <a:fillRect/>
                  </a:stretch>
                </pic:blipFill>
                <pic:spPr>
                  <a:xfrm>
                    <a:off x="0" y="0"/>
                    <a:ext cx="1532255" cy="373380"/>
                  </a:xfrm>
                  <a:prstGeom prst="rect">
                    <a:avLst/>
                  </a:prstGeom>
                  <a:noFill/>
                  <a:ln>
                    <a:noFill/>
                  </a:ln>
                </pic:spPr>
              </pic:pic>
            </a:graphicData>
          </a:graphic>
        </wp:inline>
      </w:drawing>
    </w:r>
    <w:r>
      <w:rPr>
        <w:rFonts w:hint="eastAsia" w:eastAsia="宋体"/>
        <w:color w:val="C00000"/>
        <w:u w:val="none"/>
        <w:lang w:val="en-US" w:eastAsia="zh-CN"/>
      </w:rPr>
      <w:t xml:space="preserve">                                              </w:t>
    </w:r>
    <w:r>
      <w:rPr>
        <w:rFonts w:hint="eastAsia" w:ascii="宋体" w:hAnsi="宋体" w:eastAsia="宋体" w:cs="宋体"/>
        <w:b/>
        <w:bCs/>
        <w:color w:val="FF0000"/>
        <w:sz w:val="21"/>
        <w:szCs w:val="21"/>
        <w:u w:val="none"/>
        <w:lang w:eastAsia="zh-CN"/>
      </w:rPr>
      <w:t>让学习更快乐  让考试更简单</w:t>
    </w:r>
  </w:p>
  <w:p>
    <w:pPr>
      <w:pStyle w:val="1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lhYzhjMTFlZTFhNzFmMjMzYTUxYjRhMTI3MjI4YzAifQ=="/>
  </w:docVars>
  <w:rsids>
    <w:rsidRoot w:val="0F8B1968"/>
    <w:rsid w:val="00711C04"/>
    <w:rsid w:val="016A7DD9"/>
    <w:rsid w:val="01800E7F"/>
    <w:rsid w:val="01D721E3"/>
    <w:rsid w:val="02E20F8F"/>
    <w:rsid w:val="035566D3"/>
    <w:rsid w:val="03595D77"/>
    <w:rsid w:val="03693046"/>
    <w:rsid w:val="03777BB1"/>
    <w:rsid w:val="03CF1A23"/>
    <w:rsid w:val="04E57560"/>
    <w:rsid w:val="057E5315"/>
    <w:rsid w:val="05DF6901"/>
    <w:rsid w:val="06222015"/>
    <w:rsid w:val="066250B2"/>
    <w:rsid w:val="0695000D"/>
    <w:rsid w:val="069C001A"/>
    <w:rsid w:val="06B12937"/>
    <w:rsid w:val="06E2563F"/>
    <w:rsid w:val="074309F6"/>
    <w:rsid w:val="078A2BF2"/>
    <w:rsid w:val="07B20387"/>
    <w:rsid w:val="07F37F25"/>
    <w:rsid w:val="08184907"/>
    <w:rsid w:val="087723A4"/>
    <w:rsid w:val="089F6D3D"/>
    <w:rsid w:val="08E87C56"/>
    <w:rsid w:val="08F0005A"/>
    <w:rsid w:val="096C0F7F"/>
    <w:rsid w:val="0A294767"/>
    <w:rsid w:val="0A2D1EB9"/>
    <w:rsid w:val="0B0E4903"/>
    <w:rsid w:val="0B930564"/>
    <w:rsid w:val="0B9D348F"/>
    <w:rsid w:val="0D8C4E0F"/>
    <w:rsid w:val="0DA765FE"/>
    <w:rsid w:val="0DBB677E"/>
    <w:rsid w:val="0E302610"/>
    <w:rsid w:val="0EE63E27"/>
    <w:rsid w:val="0F8B1968"/>
    <w:rsid w:val="110F3588"/>
    <w:rsid w:val="11431F96"/>
    <w:rsid w:val="119B2C57"/>
    <w:rsid w:val="12344AF0"/>
    <w:rsid w:val="1359756F"/>
    <w:rsid w:val="14D3256C"/>
    <w:rsid w:val="150A7ED0"/>
    <w:rsid w:val="156C0429"/>
    <w:rsid w:val="1677737B"/>
    <w:rsid w:val="16AC0667"/>
    <w:rsid w:val="17590B1B"/>
    <w:rsid w:val="17A41E08"/>
    <w:rsid w:val="17BE3F1C"/>
    <w:rsid w:val="17C92945"/>
    <w:rsid w:val="1A1053BC"/>
    <w:rsid w:val="1B196218"/>
    <w:rsid w:val="1C003042"/>
    <w:rsid w:val="1CCA7704"/>
    <w:rsid w:val="1DAC3FD8"/>
    <w:rsid w:val="1DED441E"/>
    <w:rsid w:val="1E916049"/>
    <w:rsid w:val="1EDF6DFF"/>
    <w:rsid w:val="1EE31166"/>
    <w:rsid w:val="20C270EB"/>
    <w:rsid w:val="216201AA"/>
    <w:rsid w:val="224C1BDA"/>
    <w:rsid w:val="2302026D"/>
    <w:rsid w:val="23B44CE0"/>
    <w:rsid w:val="249026DB"/>
    <w:rsid w:val="24C04FDC"/>
    <w:rsid w:val="25A571A2"/>
    <w:rsid w:val="26543ACA"/>
    <w:rsid w:val="265C0805"/>
    <w:rsid w:val="26CD61AE"/>
    <w:rsid w:val="28D76B05"/>
    <w:rsid w:val="291F600F"/>
    <w:rsid w:val="297C067A"/>
    <w:rsid w:val="29BB5F06"/>
    <w:rsid w:val="2B6F3037"/>
    <w:rsid w:val="2C0A4AEB"/>
    <w:rsid w:val="2C0F3F8E"/>
    <w:rsid w:val="2C780EC0"/>
    <w:rsid w:val="2D450FFF"/>
    <w:rsid w:val="2E1F27A8"/>
    <w:rsid w:val="2E566448"/>
    <w:rsid w:val="2FDF4DC0"/>
    <w:rsid w:val="2FFF0961"/>
    <w:rsid w:val="304E5EF9"/>
    <w:rsid w:val="31372553"/>
    <w:rsid w:val="31D85220"/>
    <w:rsid w:val="326B56FE"/>
    <w:rsid w:val="32A42A22"/>
    <w:rsid w:val="33801648"/>
    <w:rsid w:val="33D83D2B"/>
    <w:rsid w:val="34754544"/>
    <w:rsid w:val="35074EB7"/>
    <w:rsid w:val="362835A6"/>
    <w:rsid w:val="36CA5AE9"/>
    <w:rsid w:val="37397AA3"/>
    <w:rsid w:val="38741E1F"/>
    <w:rsid w:val="38744AFC"/>
    <w:rsid w:val="39A57E5E"/>
    <w:rsid w:val="3A1608E9"/>
    <w:rsid w:val="3A2076F4"/>
    <w:rsid w:val="3A2648A9"/>
    <w:rsid w:val="3B4E235F"/>
    <w:rsid w:val="3BB32D4D"/>
    <w:rsid w:val="3C9A513B"/>
    <w:rsid w:val="3CBF685D"/>
    <w:rsid w:val="3CD37038"/>
    <w:rsid w:val="3D1D0092"/>
    <w:rsid w:val="3D22291D"/>
    <w:rsid w:val="3E440FBD"/>
    <w:rsid w:val="3E921335"/>
    <w:rsid w:val="3F1C6E5B"/>
    <w:rsid w:val="40BA4C70"/>
    <w:rsid w:val="40D134CB"/>
    <w:rsid w:val="423643C9"/>
    <w:rsid w:val="43542885"/>
    <w:rsid w:val="43B90509"/>
    <w:rsid w:val="45C7721F"/>
    <w:rsid w:val="45CE3D37"/>
    <w:rsid w:val="46B36B28"/>
    <w:rsid w:val="47731241"/>
    <w:rsid w:val="47902EDF"/>
    <w:rsid w:val="4800603F"/>
    <w:rsid w:val="482C197C"/>
    <w:rsid w:val="48842235"/>
    <w:rsid w:val="48C20A74"/>
    <w:rsid w:val="48F61781"/>
    <w:rsid w:val="49CB56B3"/>
    <w:rsid w:val="4B0B04B0"/>
    <w:rsid w:val="4BB51955"/>
    <w:rsid w:val="4BF43F8F"/>
    <w:rsid w:val="4C772B2A"/>
    <w:rsid w:val="4CA85360"/>
    <w:rsid w:val="4D7C73FE"/>
    <w:rsid w:val="4E6918B8"/>
    <w:rsid w:val="4F2D5EEA"/>
    <w:rsid w:val="50653776"/>
    <w:rsid w:val="51517280"/>
    <w:rsid w:val="522B699B"/>
    <w:rsid w:val="52327DC6"/>
    <w:rsid w:val="525B6782"/>
    <w:rsid w:val="527A4FF1"/>
    <w:rsid w:val="52D41DFD"/>
    <w:rsid w:val="530349C9"/>
    <w:rsid w:val="530B16F6"/>
    <w:rsid w:val="531E16E1"/>
    <w:rsid w:val="531F066F"/>
    <w:rsid w:val="538B6223"/>
    <w:rsid w:val="53C411F2"/>
    <w:rsid w:val="55DD4DDD"/>
    <w:rsid w:val="56351845"/>
    <w:rsid w:val="56384502"/>
    <w:rsid w:val="564018C1"/>
    <w:rsid w:val="56696863"/>
    <w:rsid w:val="56B56BFD"/>
    <w:rsid w:val="572138C3"/>
    <w:rsid w:val="57427814"/>
    <w:rsid w:val="57777798"/>
    <w:rsid w:val="57785381"/>
    <w:rsid w:val="57CA4158"/>
    <w:rsid w:val="58935F89"/>
    <w:rsid w:val="59C061B7"/>
    <w:rsid w:val="59FA066B"/>
    <w:rsid w:val="5B6314B2"/>
    <w:rsid w:val="5BBA3C3A"/>
    <w:rsid w:val="5BBD5759"/>
    <w:rsid w:val="5D102AE3"/>
    <w:rsid w:val="5D4C6DE2"/>
    <w:rsid w:val="5DC32387"/>
    <w:rsid w:val="5E0165E2"/>
    <w:rsid w:val="5EDD5E5A"/>
    <w:rsid w:val="5EE9262C"/>
    <w:rsid w:val="5F0C284C"/>
    <w:rsid w:val="60710DC2"/>
    <w:rsid w:val="61795BDB"/>
    <w:rsid w:val="61974E2E"/>
    <w:rsid w:val="623B468B"/>
    <w:rsid w:val="628063AD"/>
    <w:rsid w:val="630462A8"/>
    <w:rsid w:val="63561B45"/>
    <w:rsid w:val="638D2AD1"/>
    <w:rsid w:val="64A019C2"/>
    <w:rsid w:val="650604A1"/>
    <w:rsid w:val="6524270C"/>
    <w:rsid w:val="65D648DA"/>
    <w:rsid w:val="66AA50B5"/>
    <w:rsid w:val="66B919D4"/>
    <w:rsid w:val="69814D48"/>
    <w:rsid w:val="6A1C444D"/>
    <w:rsid w:val="6B5F679A"/>
    <w:rsid w:val="6B9E0691"/>
    <w:rsid w:val="6BBD1287"/>
    <w:rsid w:val="6CA32A3D"/>
    <w:rsid w:val="6D286486"/>
    <w:rsid w:val="6D480C98"/>
    <w:rsid w:val="6D931A89"/>
    <w:rsid w:val="6E001573"/>
    <w:rsid w:val="6E494CC8"/>
    <w:rsid w:val="6E621DBE"/>
    <w:rsid w:val="6E6543CA"/>
    <w:rsid w:val="6EE57348"/>
    <w:rsid w:val="6EF55F46"/>
    <w:rsid w:val="6F817F97"/>
    <w:rsid w:val="6F995FD7"/>
    <w:rsid w:val="6FAC76E6"/>
    <w:rsid w:val="703D7D7F"/>
    <w:rsid w:val="706B18AE"/>
    <w:rsid w:val="718B6278"/>
    <w:rsid w:val="72182020"/>
    <w:rsid w:val="72500D29"/>
    <w:rsid w:val="728B6ED3"/>
    <w:rsid w:val="733062C7"/>
    <w:rsid w:val="733C0236"/>
    <w:rsid w:val="734C6764"/>
    <w:rsid w:val="7419308A"/>
    <w:rsid w:val="744E128A"/>
    <w:rsid w:val="74505B88"/>
    <w:rsid w:val="7486595F"/>
    <w:rsid w:val="74F956AB"/>
    <w:rsid w:val="75114142"/>
    <w:rsid w:val="75633084"/>
    <w:rsid w:val="77006B0C"/>
    <w:rsid w:val="773055AF"/>
    <w:rsid w:val="7756676B"/>
    <w:rsid w:val="776204F6"/>
    <w:rsid w:val="77DE74CE"/>
    <w:rsid w:val="780809B5"/>
    <w:rsid w:val="78300CA6"/>
    <w:rsid w:val="7894419D"/>
    <w:rsid w:val="78A633D4"/>
    <w:rsid w:val="78F5424D"/>
    <w:rsid w:val="79006A68"/>
    <w:rsid w:val="7A4F384E"/>
    <w:rsid w:val="7AF623FE"/>
    <w:rsid w:val="7B162FEE"/>
    <w:rsid w:val="7C60758C"/>
    <w:rsid w:val="7C8400F6"/>
    <w:rsid w:val="7D561C7E"/>
    <w:rsid w:val="7E003CE5"/>
    <w:rsid w:val="7E7A6F57"/>
    <w:rsid w:val="7FD355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99"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88" w:lineRule="auto"/>
      <w:ind w:firstLine="420" w:firstLineChars="200"/>
      <w:jc w:val="both"/>
    </w:pPr>
    <w:rPr>
      <w:rFonts w:ascii="宋体" w:hAnsi="宋体" w:eastAsia="宋体" w:cs="Times New Roman"/>
      <w:kern w:val="2"/>
      <w:sz w:val="21"/>
      <w:szCs w:val="24"/>
      <w:lang w:val="en-US" w:eastAsia="zh-CN" w:bidi="ar-SA"/>
    </w:rPr>
  </w:style>
  <w:style w:type="paragraph" w:styleId="6">
    <w:name w:val="heading 1"/>
    <w:basedOn w:val="1"/>
    <w:next w:val="1"/>
    <w:link w:val="23"/>
    <w:qFormat/>
    <w:uiPriority w:val="0"/>
    <w:pPr>
      <w:keepNext/>
      <w:keepLines/>
      <w:pageBreakBefore/>
      <w:tabs>
        <w:tab w:val="left" w:pos="420"/>
        <w:tab w:val="left" w:pos="2520"/>
        <w:tab w:val="left" w:pos="4620"/>
        <w:tab w:val="left" w:pos="6720"/>
      </w:tabs>
      <w:spacing w:before="100" w:beforeLines="100" w:beforeAutospacing="0" w:after="100" w:afterLines="100" w:afterAutospacing="0" w:line="288" w:lineRule="auto"/>
      <w:ind w:firstLine="0" w:firstLineChars="0"/>
      <w:outlineLvl w:val="0"/>
    </w:pPr>
    <w:rPr>
      <w:rFonts w:ascii="仿宋" w:hAnsi="仿宋" w:eastAsia="仿宋"/>
      <w:b/>
      <w:kern w:val="44"/>
      <w:sz w:val="32"/>
    </w:rPr>
  </w:style>
  <w:style w:type="paragraph" w:styleId="7">
    <w:name w:val="heading 2"/>
    <w:basedOn w:val="1"/>
    <w:next w:val="1"/>
    <w:link w:val="26"/>
    <w:unhideWhenUsed/>
    <w:qFormat/>
    <w:uiPriority w:val="0"/>
    <w:pPr>
      <w:keepNext/>
      <w:keepLines/>
      <w:tabs>
        <w:tab w:val="left" w:pos="420"/>
        <w:tab w:val="left" w:pos="2520"/>
        <w:tab w:val="left" w:pos="4620"/>
        <w:tab w:val="left" w:pos="6720"/>
      </w:tabs>
      <w:spacing w:before="50" w:beforeLines="50" w:beforeAutospacing="0" w:afterAutospacing="0" w:line="288" w:lineRule="auto"/>
      <w:ind w:firstLine="0" w:firstLineChars="0"/>
      <w:jc w:val="center"/>
      <w:outlineLvl w:val="1"/>
    </w:pPr>
    <w:rPr>
      <w:rFonts w:ascii="黑体" w:hAnsi="黑体" w:eastAsia="楷体" w:cs="Times New Roman"/>
      <w:b/>
      <w:sz w:val="28"/>
    </w:rPr>
  </w:style>
  <w:style w:type="paragraph" w:styleId="8">
    <w:name w:val="heading 3"/>
    <w:basedOn w:val="1"/>
    <w:next w:val="1"/>
    <w:link w:val="29"/>
    <w:unhideWhenUsed/>
    <w:qFormat/>
    <w:uiPriority w:val="0"/>
    <w:pPr>
      <w:keepNext/>
      <w:keepLines/>
      <w:tabs>
        <w:tab w:val="left" w:pos="420"/>
        <w:tab w:val="left" w:pos="2520"/>
        <w:tab w:val="left" w:pos="4620"/>
        <w:tab w:val="left" w:pos="6720"/>
      </w:tabs>
      <w:spacing w:before="50" w:beforeLines="50" w:beforeAutospacing="0" w:after="50" w:afterLines="50" w:afterAutospacing="0" w:line="288" w:lineRule="auto"/>
      <w:outlineLvl w:val="2"/>
    </w:pPr>
    <w:rPr>
      <w:rFonts w:ascii="黑体" w:hAnsi="黑体" w:eastAsia="黑体"/>
      <w:u w:val="double"/>
    </w:rPr>
  </w:style>
  <w:style w:type="paragraph" w:styleId="9">
    <w:name w:val="heading 4"/>
    <w:basedOn w:val="1"/>
    <w:next w:val="1"/>
    <w:link w:val="20"/>
    <w:semiHidden/>
    <w:unhideWhenUsed/>
    <w:qFormat/>
    <w:uiPriority w:val="0"/>
    <w:pPr>
      <w:keepNext/>
      <w:keepLines/>
      <w:tabs>
        <w:tab w:val="left" w:pos="420"/>
        <w:tab w:val="left" w:pos="2520"/>
        <w:tab w:val="left" w:pos="4620"/>
        <w:tab w:val="left" w:pos="6720"/>
      </w:tabs>
      <w:spacing w:before="30" w:beforeLines="30" w:beforeAutospacing="0" w:afterAutospacing="0" w:line="288" w:lineRule="auto"/>
      <w:ind w:firstLine="643" w:firstLineChars="200"/>
      <w:jc w:val="left"/>
      <w:outlineLvl w:val="3"/>
    </w:pPr>
    <w:rPr>
      <w:rFonts w:ascii="宋体" w:hAnsi="宋体" w:eastAsia="黑体" w:cs="Times New Roman"/>
      <w:color w:val="7F26F8"/>
      <w:szCs w:val="21"/>
    </w:rPr>
  </w:style>
  <w:style w:type="paragraph" w:styleId="10">
    <w:name w:val="heading 5"/>
    <w:basedOn w:val="1"/>
    <w:next w:val="1"/>
    <w:link w:val="27"/>
    <w:semiHidden/>
    <w:unhideWhenUsed/>
    <w:qFormat/>
    <w:uiPriority w:val="0"/>
    <w:pPr>
      <w:keepNext/>
      <w:keepLines/>
      <w:tabs>
        <w:tab w:val="left" w:pos="420"/>
        <w:tab w:val="left" w:pos="2520"/>
        <w:tab w:val="left" w:pos="4620"/>
        <w:tab w:val="left" w:pos="6720"/>
      </w:tabs>
      <w:spacing w:beforeLines="0" w:beforeAutospacing="0" w:afterLines="0" w:afterAutospacing="0" w:line="240" w:lineRule="auto"/>
      <w:ind w:left="0" w:firstLine="0"/>
      <w:jc w:val="both"/>
      <w:outlineLvl w:val="4"/>
    </w:pPr>
    <w:rPr>
      <w:rFonts w:ascii="Times New Roman" w:hAnsi="Times New Roman" w:eastAsia="宋体" w:cs="宋体"/>
      <w:b/>
      <w:color w:val="000000" w:themeColor="text1"/>
      <w:kern w:val="2"/>
      <w:szCs w:val="21"/>
      <w14:textFill>
        <w14:solidFill>
          <w14:schemeClr w14:val="tx1"/>
        </w14:solidFill>
      </w14:textFill>
    </w:rPr>
  </w:style>
  <w:style w:type="paragraph" w:styleId="11">
    <w:name w:val="heading 6"/>
    <w:basedOn w:val="1"/>
    <w:next w:val="1"/>
    <w:link w:val="24"/>
    <w:semiHidden/>
    <w:unhideWhenUsed/>
    <w:qFormat/>
    <w:uiPriority w:val="0"/>
    <w:pPr>
      <w:keepNext/>
      <w:keepLines/>
      <w:tabs>
        <w:tab w:val="left" w:pos="420"/>
        <w:tab w:val="left" w:pos="2520"/>
        <w:tab w:val="left" w:pos="4620"/>
        <w:tab w:val="left" w:pos="6720"/>
      </w:tabs>
      <w:spacing w:before="30" w:beforeLines="30" w:beforeAutospacing="0" w:after="30" w:afterLines="30" w:afterAutospacing="0" w:line="288" w:lineRule="auto"/>
      <w:outlineLvl w:val="5"/>
    </w:pPr>
    <w:rPr>
      <w:rFonts w:ascii="Arial" w:hAnsi="Arial" w:eastAsia="仿宋" w:cs="宋体"/>
      <w:b/>
      <w:szCs w:val="21"/>
    </w:rPr>
  </w:style>
  <w:style w:type="character" w:default="1" w:styleId="19">
    <w:name w:val="Default Paragraph Font"/>
    <w:semiHidden/>
    <w:qFormat/>
    <w:uiPriority w:val="99"/>
  </w:style>
  <w:style w:type="table" w:default="1" w:styleId="18">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link w:val="30"/>
    <w:qFormat/>
    <w:uiPriority w:val="0"/>
    <w:pPr>
      <w:keepNext w:val="0"/>
      <w:tabs>
        <w:tab w:val="left" w:pos="420"/>
        <w:tab w:val="left" w:pos="2520"/>
        <w:tab w:val="left" w:pos="4620"/>
        <w:tab w:val="left" w:pos="6720"/>
      </w:tabs>
      <w:spacing w:beforeLines="0" w:afterLines="0" w:line="240" w:lineRule="auto"/>
      <w:ind w:left="0" w:leftChars="0" w:firstLine="643" w:firstLineChars="200"/>
      <w:jc w:val="both"/>
      <w:outlineLvl w:val="9"/>
    </w:pPr>
    <w:rPr>
      <w:rFonts w:ascii="Times New Roman" w:hAnsi="Times New Roman" w:eastAsia="楷体" w:cstheme="minorBidi"/>
      <w:color w:val="FF0000"/>
      <w:sz w:val="21"/>
      <w:szCs w:val="22"/>
    </w:rPr>
  </w:style>
  <w:style w:type="paragraph" w:styleId="3">
    <w:name w:val="Body Text Indent"/>
    <w:basedOn w:val="1"/>
    <w:qFormat/>
    <w:uiPriority w:val="0"/>
    <w:pPr>
      <w:tabs>
        <w:tab w:val="left" w:pos="420"/>
        <w:tab w:val="left" w:pos="2520"/>
        <w:tab w:val="left" w:pos="4620"/>
        <w:tab w:val="left" w:pos="6720"/>
      </w:tabs>
      <w:spacing w:after="120" w:afterLines="0" w:afterAutospacing="0"/>
      <w:ind w:left="420" w:leftChars="200"/>
    </w:pPr>
  </w:style>
  <w:style w:type="paragraph" w:styleId="4">
    <w:name w:val="Body Text First Indent"/>
    <w:basedOn w:val="5"/>
    <w:qFormat/>
    <w:uiPriority w:val="0"/>
    <w:pPr>
      <w:tabs>
        <w:tab w:val="left" w:pos="420"/>
        <w:tab w:val="left" w:pos="2520"/>
        <w:tab w:val="left" w:pos="4620"/>
        <w:tab w:val="left" w:pos="6720"/>
      </w:tabs>
      <w:spacing w:line="288" w:lineRule="auto"/>
      <w:ind w:firstLine="420" w:firstLineChars="200"/>
    </w:pPr>
    <w:rPr>
      <w:rFonts w:ascii="宋体" w:hAnsi="宋体" w:cs="宋体"/>
    </w:rPr>
  </w:style>
  <w:style w:type="paragraph" w:styleId="5">
    <w:name w:val="Body Text"/>
    <w:basedOn w:val="1"/>
    <w:next w:val="1"/>
    <w:qFormat/>
    <w:uiPriority w:val="0"/>
    <w:pPr>
      <w:tabs>
        <w:tab w:val="left" w:pos="420"/>
        <w:tab w:val="left" w:pos="2520"/>
        <w:tab w:val="left" w:pos="4620"/>
        <w:tab w:val="left" w:pos="6720"/>
      </w:tabs>
      <w:spacing w:afterLines="0" w:afterAutospacing="0" w:line="240" w:lineRule="auto"/>
    </w:pPr>
    <w:rPr>
      <w:rFonts w:ascii="Times New Roman" w:hAnsi="Times New Roman" w:eastAsia="宋体" w:cs="Times New Roman"/>
    </w:rPr>
  </w:style>
  <w:style w:type="paragraph" w:styleId="12">
    <w:name w:val="toc 3"/>
    <w:basedOn w:val="1"/>
    <w:next w:val="1"/>
    <w:qFormat/>
    <w:uiPriority w:val="0"/>
    <w:pPr>
      <w:tabs>
        <w:tab w:val="left" w:leader="middleDot" w:pos="9030"/>
      </w:tabs>
      <w:ind w:left="840" w:leftChars="400"/>
    </w:pPr>
    <w:rPr>
      <w:rFonts w:ascii="Times New Roman" w:hAnsi="Times New Roman" w:eastAsia="楷体"/>
      <w:color w:val="000000" w:themeColor="text1"/>
      <w:kern w:val="2"/>
      <w:sz w:val="24"/>
      <w14:textFill>
        <w14:solidFill>
          <w14:schemeClr w14:val="tx1"/>
        </w14:solidFill>
      </w14:textFill>
    </w:rPr>
  </w:style>
  <w:style w:type="paragraph" w:styleId="13">
    <w:name w:val="footer"/>
    <w:basedOn w:val="1"/>
    <w:qFormat/>
    <w:uiPriority w:val="0"/>
    <w:pPr>
      <w:tabs>
        <w:tab w:val="center" w:pos="4153"/>
        <w:tab w:val="right" w:pos="8306"/>
      </w:tabs>
      <w:snapToGrid/>
      <w:ind w:firstLine="0" w:firstLineChars="0"/>
      <w:jc w:val="center"/>
    </w:pPr>
    <w:rPr>
      <w:rFonts w:ascii="Times New Roman" w:hAnsi="Times New Roman" w:cs="Times New Roman"/>
      <w:sz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ind w:firstLine="0" w:firstLineChars="0"/>
      <w:jc w:val="both"/>
      <w:textAlignment w:val="baseline"/>
      <w:outlineLvl w:val="9"/>
    </w:pPr>
    <w:rPr>
      <w:rFonts w:ascii="Times New Roman" w:hAnsi="Times New Roman" w:eastAsia="宋体" w:cstheme="minorBidi"/>
      <w:sz w:val="18"/>
      <w:szCs w:val="24"/>
    </w:rPr>
  </w:style>
  <w:style w:type="paragraph" w:styleId="15">
    <w:name w:val="toc 1"/>
    <w:basedOn w:val="1"/>
    <w:next w:val="1"/>
    <w:qFormat/>
    <w:uiPriority w:val="0"/>
    <w:pPr>
      <w:tabs>
        <w:tab w:val="center" w:leader="middleDot" w:pos="8820"/>
      </w:tabs>
      <w:spacing w:before="50" w:beforeLines="50" w:after="50" w:afterLines="50"/>
    </w:pPr>
    <w:rPr>
      <w:rFonts w:ascii="Times New Roman" w:hAnsi="Times New Roman" w:eastAsia="黑体"/>
      <w:sz w:val="24"/>
    </w:rPr>
  </w:style>
  <w:style w:type="paragraph" w:styleId="16">
    <w:name w:val="toc 2"/>
    <w:basedOn w:val="1"/>
    <w:next w:val="1"/>
    <w:link w:val="28"/>
    <w:qFormat/>
    <w:uiPriority w:val="0"/>
    <w:pPr>
      <w:tabs>
        <w:tab w:val="left" w:leader="middleDot" w:pos="7770"/>
      </w:tabs>
      <w:spacing w:before="50" w:beforeLines="50"/>
      <w:ind w:left="420" w:leftChars="200"/>
    </w:pPr>
    <w:rPr>
      <w:rFonts w:ascii="Times New Roman" w:hAnsi="Times New Roman" w:eastAsia="楷体"/>
      <w:b/>
      <w:color w:val="000000" w:themeColor="text1"/>
      <w:kern w:val="2"/>
      <w:sz w:val="24"/>
      <w14:textFill>
        <w14:solidFill>
          <w14:schemeClr w14:val="tx1"/>
        </w14:solidFill>
      </w14:textFill>
    </w:rPr>
  </w:style>
  <w:style w:type="paragraph" w:styleId="17">
    <w:name w:val="Normal (Web)"/>
    <w:basedOn w:val="1"/>
    <w:qFormat/>
    <w:uiPriority w:val="0"/>
    <w:rPr>
      <w:sz w:val="24"/>
    </w:rPr>
  </w:style>
  <w:style w:type="character" w:customStyle="1" w:styleId="20">
    <w:name w:val="标题 4 Char"/>
    <w:link w:val="9"/>
    <w:qFormat/>
    <w:uiPriority w:val="0"/>
    <w:rPr>
      <w:rFonts w:ascii="宋体" w:hAnsi="宋体" w:eastAsia="黑体" w:cs="Times New Roman"/>
      <w:color w:val="7F26F8"/>
      <w:sz w:val="22"/>
      <w:szCs w:val="21"/>
    </w:rPr>
  </w:style>
  <w:style w:type="paragraph" w:customStyle="1" w:styleId="21">
    <w:name w:val="表格内容"/>
    <w:basedOn w:val="1"/>
    <w:qFormat/>
    <w:uiPriority w:val="0"/>
    <w:pPr>
      <w:tabs>
        <w:tab w:val="left" w:pos="420"/>
        <w:tab w:val="left" w:pos="2520"/>
        <w:tab w:val="left" w:pos="4620"/>
        <w:tab w:val="left" w:pos="6720"/>
      </w:tabs>
      <w:spacing w:line="240" w:lineRule="auto"/>
      <w:ind w:firstLine="0" w:firstLineChars="0"/>
      <w:jc w:val="left"/>
    </w:pPr>
    <w:rPr>
      <w:rFonts w:ascii="Times New Roman" w:hAnsi="Times New Roman" w:eastAsia="仿宋" w:cstheme="minorBidi"/>
      <w:sz w:val="18"/>
      <w:szCs w:val="24"/>
    </w:rPr>
  </w:style>
  <w:style w:type="paragraph" w:customStyle="1" w:styleId="22">
    <w:name w:val="样式2"/>
    <w:basedOn w:val="10"/>
    <w:next w:val="1"/>
    <w:qFormat/>
    <w:uiPriority w:val="0"/>
    <w:pPr>
      <w:spacing w:line="240" w:lineRule="auto"/>
    </w:pPr>
    <w:rPr>
      <w:sz w:val="21"/>
      <w:szCs w:val="22"/>
    </w:rPr>
  </w:style>
  <w:style w:type="character" w:customStyle="1" w:styleId="23">
    <w:name w:val="标题 1 Char"/>
    <w:link w:val="6"/>
    <w:qFormat/>
    <w:uiPriority w:val="0"/>
    <w:rPr>
      <w:rFonts w:ascii="仿宋" w:hAnsi="仿宋" w:eastAsia="仿宋" w:cs="Times New Roman"/>
      <w:b/>
      <w:kern w:val="44"/>
      <w:sz w:val="32"/>
      <w:szCs w:val="24"/>
      <w:lang w:val="en-US" w:eastAsia="zh-CN" w:bidi="ar-SA"/>
    </w:rPr>
  </w:style>
  <w:style w:type="character" w:customStyle="1" w:styleId="24">
    <w:name w:val="标题 6 Char"/>
    <w:link w:val="11"/>
    <w:qFormat/>
    <w:uiPriority w:val="0"/>
    <w:rPr>
      <w:rFonts w:ascii="Arial" w:hAnsi="Arial" w:eastAsia="仿宋" w:cs="宋体"/>
      <w:b/>
      <w:szCs w:val="21"/>
    </w:rPr>
  </w:style>
  <w:style w:type="paragraph" w:customStyle="1" w:styleId="25">
    <w:name w:val="标题6"/>
    <w:basedOn w:val="1"/>
    <w:qFormat/>
    <w:uiPriority w:val="0"/>
    <w:pPr>
      <w:tabs>
        <w:tab w:val="left" w:pos="420"/>
        <w:tab w:val="left" w:pos="2520"/>
        <w:tab w:val="left" w:pos="4620"/>
        <w:tab w:val="left" w:pos="6720"/>
      </w:tabs>
      <w:spacing w:before="30" w:beforeLines="30" w:after="30" w:afterLines="30"/>
    </w:pPr>
    <w:rPr>
      <w:rFonts w:ascii="Times New Roman" w:hAnsi="Times New Roman" w:eastAsia="仿宋" w:cs="宋体"/>
      <w:b/>
      <w:szCs w:val="21"/>
    </w:rPr>
  </w:style>
  <w:style w:type="character" w:customStyle="1" w:styleId="26">
    <w:name w:val="标题 2 Char"/>
    <w:basedOn w:val="19"/>
    <w:link w:val="7"/>
    <w:qFormat/>
    <w:uiPriority w:val="0"/>
    <w:rPr>
      <w:rFonts w:ascii="黑体" w:hAnsi="黑体" w:eastAsia="楷体" w:cs="Times New Roman"/>
      <w:b/>
      <w:kern w:val="2"/>
      <w:sz w:val="28"/>
    </w:rPr>
  </w:style>
  <w:style w:type="character" w:customStyle="1" w:styleId="27">
    <w:name w:val="标题 5 Char"/>
    <w:link w:val="10"/>
    <w:qFormat/>
    <w:uiPriority w:val="0"/>
    <w:rPr>
      <w:rFonts w:ascii="Times New Roman" w:hAnsi="Times New Roman" w:eastAsia="宋体" w:cs="宋体"/>
      <w:b/>
      <w:color w:val="000000" w:themeColor="text1"/>
      <w:kern w:val="2"/>
      <w:szCs w:val="21"/>
      <w14:textFill>
        <w14:solidFill>
          <w14:schemeClr w14:val="tx1"/>
        </w14:solidFill>
      </w14:textFill>
    </w:rPr>
  </w:style>
  <w:style w:type="character" w:customStyle="1" w:styleId="28">
    <w:name w:val="目录 2 Char"/>
    <w:link w:val="16"/>
    <w:qFormat/>
    <w:uiPriority w:val="0"/>
    <w:rPr>
      <w:rFonts w:ascii="Times New Roman" w:hAnsi="Times New Roman" w:eastAsia="楷体"/>
      <w:b/>
      <w:color w:val="000000" w:themeColor="text1"/>
      <w:kern w:val="2"/>
      <w:sz w:val="24"/>
      <w14:textFill>
        <w14:solidFill>
          <w14:schemeClr w14:val="tx1"/>
        </w14:solidFill>
      </w14:textFill>
    </w:rPr>
  </w:style>
  <w:style w:type="character" w:customStyle="1" w:styleId="29">
    <w:name w:val="Heading 3 Char"/>
    <w:basedOn w:val="19"/>
    <w:link w:val="8"/>
    <w:semiHidden/>
    <w:qFormat/>
    <w:uiPriority w:val="9"/>
    <w:rPr>
      <w:rFonts w:ascii="黑体" w:hAnsi="黑体" w:eastAsia="黑体" w:cs="Times New Roman"/>
      <w:bCs/>
      <w:color w:val="FF0000"/>
      <w:sz w:val="32"/>
      <w:szCs w:val="32"/>
      <w:u w:val="double"/>
    </w:rPr>
  </w:style>
  <w:style w:type="character" w:customStyle="1" w:styleId="30">
    <w:name w:val="正文首行缩进 2 Char"/>
    <w:link w:val="2"/>
    <w:qFormat/>
    <w:uiPriority w:val="0"/>
    <w:rPr>
      <w:rFonts w:ascii="Times New Roman" w:hAnsi="Times New Roman" w:eastAsia="楷体" w:cstheme="minorBidi"/>
      <w:color w:val="FF0000"/>
      <w:sz w:val="21"/>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tags>
    <s:tag s:spid="_x0000_s1026">
      <s:item s:name="KSO_DOCER_RESOURCE_TRACE_INFO" s:val="{&quot;id&quot;:&quot;20343747&quot;,&quot;origin&quot;:0,&quot;type&quot;:&quot;textbox&quot;,&quot;user&quot;:&quot;238201592&quot;}"/>
      <s:item s:name="KSO_DOCER_RESOURCE_TRACE_INFO" s:val="{&quot;id&quot;:&quot;20343747&quot;,&quot;origin&quot;:0,&quot;type&quot;:&quot;textbox&quot;,&quot;user&quot;:&quot;238201592&quot;}"/>
    </s:tag>
  </s:tag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24033</Words>
  <Characters>26046</Characters>
  <Lines>0</Lines>
  <Paragraphs>0</Paragraphs>
  <TotalTime>55</TotalTime>
  <ScaleCrop>false</ScaleCrop>
  <LinksUpToDate>false</LinksUpToDate>
  <CharactersWithSpaces>26059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2022-11-09T10:17:00Z</dcterms:created>
  <dc:creator>娟</dc:creator>
  <cp:lastModifiedBy>娟</cp:lastModifiedBy>
  <dcterms:modified xsi:type="dcterms:W3CDTF">2022-11-15T09:00:55Z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35F887AE28C0430290E430D994C0202F</vt:lpwstr>
  </property>
</Properties>
</file>