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申论阅读：</w:t>
      </w:r>
      <w:bookmarkStart w:id="0" w:name="_GoBack"/>
      <w:r>
        <w:rPr>
          <w:rFonts w:hint="eastAsia"/>
          <w:lang w:eastAsia="zh-CN"/>
        </w:rPr>
        <w:t>“清朗”的网络空间符合人民利益</w:t>
      </w:r>
      <w:bookmarkEnd w:id="0"/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从2019年以来，我们累计清理违法和不良信息200多亿条、账号近14亿个，赢得了广大网民的支持肯定。”8月23日，中央网信办负责同志在国新办举行的新闻发布会上介绍，“清朗”系列专项行动针对群众关注度高的网络顽瘴痼疾，持续深入开展专项治理，取得显著成效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网络空间天朗气清、生态良好，符合人民利益。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“清朗”系列专项行动聚焦影响面广、危害性大的网络问题，集中整治网络暴力、网络水军、网络黑公关等群众反映强烈的“毒瘤”，切实维护广大网民的合法权益，是“以人民为中心”的现实体现。持续开展专项行动，更旨在促进互联网行业健康发展，巩固网络安全屏障，助力网络强国建设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打蛇打七寸，整治坚持抓重点。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网络暴力、网络水军逞凶，平台方难辞其咎。所以，网络群组、网站论坛、电商、小程序等成为治理重点。网信部门大力压实平台主体责任，敦促后者守土负责、守土尽责。网络不是肆意妄言的空间，评论、弹幕、私信等也被作为重点环节，纳入治理视野。网络参与者发表言论必须遵守尺度，相关审核管理不可或缺。考虑到未成年人更容易受到网络乱象的侵害，网信部门还聚焦青少年常用的应用程序、智能设备等，清除其中的污秽，全力为青少年“绿色上网”保驾护航。针对不同网络乱象，聚焦相关要害，对症下药，事半功倍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创新增实效，整治着力出新招。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网信部门重点做到三个强化。强化信息公示，剑指网络水军，有力遏制蹭热点、带节奏、恶意营销。强化用户保护，推动网站平台完善防控机制，向可能遭受网络暴力风险的用户发送风险提示，引导用户开启“一键防护”功能，为用户构筑有力的“保护网”。强化推荐管理，科学指导网站平台优化榜单类产品评价体系，有效规范推荐位置信息呈现，纠正唯点击量、唯数据量的不良倾向。网信部门创新举措、科学指导、强化实施，有关工作贯穿从平台端到用户层，精准出击既治标又治本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惩处动真格，整治力求强震慑。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在此次针对网络暴力和网络水军的专项行动中，数以千万计的不良信息被拦截或清理，数以百万计的违法违规账号被查处，雷霆之势表明网信部门的坚决果断，高压严打起到警钟长鸣的效果。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互联网是亿万民众共同的精神家园，还网络以风清气正的良好氛围可谓人心所向。不断巩固“清朗”系列专项行动的成果，需要网信部门踔厉奋发、笃行不怠，也要网络平台切实履行社会责任、保护用户合法权益，更离不开广大网民积极参与、文明诚信网上冲浪。各方携手努力，共建共治共享，网络正能量必将更充沛，网上主旋律必然更高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righ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来源：</w:t>
      </w:r>
      <w:r>
        <w:rPr>
          <w:rFonts w:hint="eastAsia" w:cs="宋体"/>
          <w:kern w:val="2"/>
          <w:sz w:val="21"/>
          <w:szCs w:val="21"/>
          <w:lang w:val="en-US" w:eastAsia="zh-CN" w:bidi="ar-SA"/>
        </w:rPr>
        <w:t>人民网评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right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编辑：展鸿教育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3618B8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13</TotalTime>
  <ScaleCrop>false</ScaleCrop>
  <LinksUpToDate>false</LinksUpToDate>
  <CharactersWithSpaces>82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2022-08-31T08:02:32Z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8D2455B9E3DC4C5BB3E68377E9ECA51F</vt:lpwstr>
  </property>
</Properties>
</file>