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widowControl w:val="0"/>
        <w:kinsoku/>
        <w:wordWrap/>
        <w:overflowPunct/>
        <w:topLinePunct w:val="0"/>
        <w:autoSpaceDE/>
        <w:autoSpaceDN/>
        <w:bidi w:val="0"/>
        <w:adjustRightInd/>
        <w:snapToGrid/>
        <w:spacing w:before="313" w:beforeLines="100" w:after="313" w:afterLines="100" w:line="288" w:lineRule="auto"/>
        <w:ind w:firstLine="0" w:firstLineChars="0"/>
        <w:jc w:val="center"/>
        <w:textAlignment w:val="auto"/>
        <w:outlineLvl w:val="9"/>
        <w:rPr>
          <w:rFonts w:hint="eastAsia" w:ascii="仿宋" w:hAnsi="仿宋" w:eastAsia="仿宋" w:cs="仿宋"/>
          <w:b/>
          <w:bCs/>
          <w:sz w:val="30"/>
          <w:szCs w:val="30"/>
          <w:lang w:eastAsia="zh-CN"/>
        </w:rPr>
      </w:pPr>
      <w:r>
        <w:rPr>
          <w:rFonts w:hint="eastAsia" w:ascii="仿宋" w:hAnsi="仿宋" w:eastAsia="仿宋" w:cs="仿宋"/>
          <w:b/>
          <w:bCs/>
          <w:sz w:val="30"/>
          <w:szCs w:val="30"/>
          <w:lang w:val="en-US" w:eastAsia="zh-CN"/>
        </w:rPr>
        <w:t>推荐</w:t>
      </w:r>
      <w:r>
        <w:rPr>
          <w:rFonts w:hint="eastAsia" w:ascii="仿宋" w:hAnsi="仿宋" w:eastAsia="仿宋" w:cs="仿宋"/>
          <w:b/>
          <w:bCs/>
          <w:sz w:val="30"/>
          <w:szCs w:val="30"/>
          <w:lang w:eastAsia="zh-CN"/>
        </w:rPr>
        <w:t>阅读：</w:t>
      </w:r>
      <w:bookmarkStart w:id="0" w:name="_GoBack"/>
      <w:r>
        <w:rPr>
          <w:rFonts w:hint="eastAsia" w:ascii="仿宋" w:hAnsi="仿宋" w:eastAsia="仿宋" w:cs="仿宋"/>
          <w:b/>
          <w:bCs/>
          <w:sz w:val="30"/>
          <w:szCs w:val="30"/>
          <w:lang w:eastAsia="zh-CN"/>
        </w:rPr>
        <w:t>充分释放综合性国家科学中心的创新力</w:t>
      </w:r>
      <w:bookmarkEnd w:id="0"/>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rPr>
      </w:pPr>
      <w:r>
        <w:rPr>
          <w:rFonts w:hint="eastAsia"/>
        </w:rPr>
        <w:t>考生在平时可以多阅读一些权威媒体的报道或时评，一是对阅读素材的积累，二是对写作手法的借鉴。展鸿教育挑选了一些文章，供各位考生阅读参考：</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rPr>
      </w:pPr>
      <w:r>
        <w:rPr>
          <w:rFonts w:hint="eastAsia"/>
        </w:rPr>
        <w:t>建设综合性国家科学中心是“十四五”实施国家创新驱动发展战略的重大举措。作为国家创新体系建设的重要组成部分，综合性国家科学中心建设是着眼于新百年目标坚持科技自立自强的重大战略决策，是国家科技资源配置与区域发展战略双向协同的顶层设计，将为构建新发展格局提供战略支点，为推动高质量发展提供动力源泉。如何理解并把握这一设计？</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2" w:firstLineChars="200"/>
        <w:jc w:val="both"/>
        <w:textAlignment w:val="auto"/>
        <w:outlineLvl w:val="9"/>
        <w:rPr>
          <w:rFonts w:hint="eastAsia"/>
        </w:rPr>
      </w:pPr>
      <w:r>
        <w:rPr>
          <w:rFonts w:hint="eastAsia"/>
          <w:b/>
          <w:bCs/>
        </w:rPr>
        <w:t>坚持新发展理念，准确理解综合性国家科学中心的时代内涵。</w:t>
      </w:r>
      <w:r>
        <w:rPr>
          <w:rFonts w:hint="eastAsia"/>
        </w:rPr>
        <w:t>综合性国家科学中心的关键是“综合性”。和单个大科学装置的国家科学中心相比，综合性国家科学中心强调多学科、多部门、多领域的基础科学的交叉融合，通过包括各类创新要素和创新主体的相互交织和耦合关联，促进实现知识创新、技术创新、管理创新和文化引领等复合功能。综合性国家科学中心的重点在于“国家”。其服务于科技强国的国家意志，旨在提升国家基础科学水平，增强国家科技竞争力。综合性国家科学中心的定位在于“科学中心”。相较于科创中心，综合性国家科学中心强调通过汇聚国家重大科技基础设施、新型研发机构等多种战略科技力量，吸引世界级科学家集体攻关，努力形成基础科学和原创能力的重大突破。</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2" w:firstLineChars="200"/>
        <w:jc w:val="both"/>
        <w:textAlignment w:val="auto"/>
        <w:outlineLvl w:val="9"/>
        <w:rPr>
          <w:rFonts w:hint="eastAsia"/>
        </w:rPr>
      </w:pPr>
      <w:r>
        <w:rPr>
          <w:rFonts w:hint="eastAsia"/>
          <w:b/>
          <w:bCs/>
        </w:rPr>
        <w:t>立足新发展阶段，深刻把握综合性国家科学中心的时代意义。</w:t>
      </w:r>
      <w:r>
        <w:rPr>
          <w:rFonts w:hint="eastAsia"/>
        </w:rPr>
        <w:t>着眼现代化新征程，综合性国家科学中心是建设创新型国家的必然要求。纵观全球发展史，科学发明和经济发展一直是创新型国家建设的永恒主题。世界创新中心的几度迁移，关键是科学技术这个主轴在旋转和发力。历史上美国、英国、德国、日本的国家创新实力变迁和硅谷、伦敦科技城、慕尼黑科学园、筑波科学城等全球科学中心的兴衰紧密相关。着眼新百年奋斗目标，建设综合性国家科学中心是我国抢抓新一轮科技革命的历史性机遇推动创新型国家建设的重大战略决策。</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2" w:firstLineChars="200"/>
        <w:jc w:val="both"/>
        <w:textAlignment w:val="auto"/>
        <w:outlineLvl w:val="9"/>
        <w:rPr>
          <w:rFonts w:hint="eastAsia"/>
        </w:rPr>
      </w:pPr>
      <w:r>
        <w:rPr>
          <w:rFonts w:hint="eastAsia"/>
          <w:b/>
          <w:bCs/>
        </w:rPr>
        <w:t>立足新发展阶段，综合性国家科学中心是强化国家战略科技力量的客观要求。</w:t>
      </w:r>
      <w:r>
        <w:rPr>
          <w:rFonts w:hint="eastAsia"/>
        </w:rPr>
        <w:t>围绕科学技术的国际竞争日趋白热化，国家对战略科技力量的需求比以往任何时期都更加迫切。我国在关键行业上的发展瓶颈，深层次原因就是基础科学的“卡脖子”问题。综合性国家科学中心的建设就是希望通过自主开发国之重器，推进学科深度交叉融合，用源头创新解决“卡脖子”技术难题。</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2" w:firstLineChars="200"/>
        <w:jc w:val="both"/>
        <w:textAlignment w:val="auto"/>
        <w:outlineLvl w:val="9"/>
        <w:rPr>
          <w:rFonts w:hint="eastAsia"/>
        </w:rPr>
      </w:pPr>
      <w:r>
        <w:rPr>
          <w:rFonts w:hint="eastAsia"/>
          <w:b/>
          <w:bCs/>
        </w:rPr>
        <w:t>构建新发展格局，综合性国家科学中心是破解双循环的关键砝码。</w:t>
      </w:r>
      <w:r>
        <w:rPr>
          <w:rFonts w:hint="eastAsia"/>
        </w:rPr>
        <w:t>科技创新是经济社会发展的根本动力。综合性国家科学中心在构建“双循环”新发展格局中担当着重要角色。作为各种创新要素的综合体，综合性国家科学中心具备天然的流动性。一方面，其借助重大科学设施共享使用等方式打通了国内科技创新的全过程生态链，以科创大循环有力促进了国内经济大循环；另一方面，通过国际开放合作，科学中心主动参与国际科技格局构建，实现了国际科创双循环。上海光源开放以来已服务3万多用户，未来还将进一步提升服务产业研究的能力。张江海外人才“离岸创新创业基地”模式更是创新人才双循环的典型案例。</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rPr>
      </w:pPr>
      <w:r>
        <w:rPr>
          <w:rFonts w:hint="eastAsia"/>
        </w:rPr>
        <w:t>基于系统哲学观，全面理解综合性国家科学中心的内在联系。北京怀柔、上海张江、安徽合肥和粤港澳大湾区综合性国家科学中心已经在世界级原始创新、前沿学科交叉创新、重大科技基础设施建设等方面取得了有益探索，未来应该从更为系统的角度加强科学中心的协同推进。</w:t>
      </w:r>
      <w:r>
        <w:rPr>
          <w:rFonts w:hint="eastAsia"/>
          <w:b/>
          <w:bCs/>
        </w:rPr>
        <w:t>其一，在鼓励四大中心合理分工的基础上，构建四大中心之间的有机横向协同创新网络。</w:t>
      </w:r>
      <w:r>
        <w:rPr>
          <w:rFonts w:hint="eastAsia"/>
        </w:rPr>
        <w:t>要建立健全四大中心在重大基础设施、共性基础技术、顶尖人才管理和创新管理制度等方面的协同机制，集成优势力量在关键问题上集体攻坚破题，最大限度发挥科技创新的国家队能量。</w:t>
      </w:r>
      <w:r>
        <w:rPr>
          <w:rFonts w:hint="eastAsia"/>
          <w:b/>
          <w:bCs/>
        </w:rPr>
        <w:t>其二，要充分释放综合性国家科学中心同所在区域科创中心、科学城的纵向协同合力。</w:t>
      </w:r>
      <w:r>
        <w:rPr>
          <w:rFonts w:hint="eastAsia"/>
        </w:rPr>
        <w:t>综合性国家科学中心着力破解科学难题，科创中心强调技术转化，而科学城强调宜居环境构建，三主体的高度协同才能完全释放科创政策的科技、产业和营商环境优势，构建覆盖研发、生产、生活等全环节的科创要素新生态。张江国家科学中心正深入融入张江科学城和上海科创中心的火热建设中，未来这里将呈现一个更具引领性、开放性和包容性的科创新高地。</w:t>
      </w:r>
    </w:p>
    <w:p>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jc w:val="right"/>
        <w:textAlignment w:val="auto"/>
        <w:outlineLvl w:val="9"/>
        <w:rPr>
          <w:rFonts w:hint="eastAsia"/>
        </w:rPr>
      </w:pPr>
      <w:r>
        <w:rPr>
          <w:rFonts w:hint="eastAsia"/>
        </w:rPr>
        <w:t>来源：光明日报</w:t>
      </w:r>
    </w:p>
    <w:p>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jc w:val="right"/>
        <w:textAlignment w:val="auto"/>
        <w:outlineLvl w:val="9"/>
        <w:rPr>
          <w:rFonts w:hint="eastAsia" w:ascii="宋体" w:hAnsi="宋体" w:eastAsia="宋体" w:cs="宋体"/>
          <w:b w:val="0"/>
          <w:bCs w:val="0"/>
          <w:i w:val="0"/>
          <w:iCs w:val="0"/>
          <w:caps w:val="0"/>
          <w:color w:val="000000"/>
          <w:spacing w:val="0"/>
          <w:sz w:val="21"/>
          <w:szCs w:val="21"/>
          <w:lang w:val="en-US" w:eastAsia="zh-CN"/>
        </w:rPr>
      </w:pPr>
      <w:r>
        <w:rPr>
          <w:rFonts w:hint="eastAsia"/>
        </w:rPr>
        <w:t>编辑：展鸿教育</w:t>
      </w:r>
    </w:p>
    <w:sectPr>
      <w:headerReference r:id="rId5" w:type="default"/>
      <w:footerReference r:id="rId6" w:type="default"/>
      <w:pgSz w:w="11906" w:h="16838"/>
      <w:pgMar w:top="1871" w:right="1247" w:bottom="1247" w:left="124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icrosoft JhengHe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ind w:left="0" w:leftChars="0" w:firstLine="0" w:firstLineChars="0"/>
                            <w:jc w:val="both"/>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ind w:left="0" w:leftChars="0" w:firstLine="0" w:firstLineChars="0"/>
                      <w:jc w:val="both"/>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ind w:firstLine="420"/>
      </w:pPr>
      <w:r>
        <w:separator/>
      </w:r>
    </w:p>
  </w:footnote>
  <w:footnote w:type="continuationSeparator" w:id="1">
    <w:p>
      <w:pPr>
        <w:spacing w:line="288"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keepNext w:val="0"/>
      <w:keepLines w:val="0"/>
      <w:pageBreakBefore w:val="0"/>
      <w:widowControl w:val="0"/>
      <w:pBdr>
        <w:bottom w:val="single" w:color="auto" w:sz="4" w:space="1"/>
      </w:pBdr>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pPr>
    <w:r>
      <w:rPr>
        <w:rFonts w:hint="eastAsia" w:eastAsia="宋体"/>
        <w:color w:val="C00000"/>
        <w:u w:val="none"/>
        <w:lang w:eastAsia="zh-CN"/>
      </w:rPr>
      <w:drawing>
        <wp:inline distT="0" distB="0" distL="114300" distR="114300">
          <wp:extent cx="1532255" cy="373380"/>
          <wp:effectExtent l="0" t="0" r="10795" b="7620"/>
          <wp:docPr id="2" name="图片 2" descr="展鸿教育logo（横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展鸿教育logo（横版）"/>
                  <pic:cNvPicPr>
                    <a:picLocks noChangeAspect="1"/>
                  </pic:cNvPicPr>
                </pic:nvPicPr>
                <pic:blipFill>
                  <a:blip r:embed="rId1"/>
                  <a:srcRect b="-5042"/>
                  <a:stretch>
                    <a:fillRect/>
                  </a:stretch>
                </pic:blipFill>
                <pic:spPr>
                  <a:xfrm>
                    <a:off x="0" y="0"/>
                    <a:ext cx="1532255" cy="373380"/>
                  </a:xfrm>
                  <a:prstGeom prst="rect">
                    <a:avLst/>
                  </a:prstGeom>
                  <a:noFill/>
                  <a:ln>
                    <a:noFill/>
                  </a:ln>
                </pic:spPr>
              </pic:pic>
            </a:graphicData>
          </a:graphic>
        </wp:inline>
      </w:drawing>
    </w:r>
    <w:r>
      <w:rPr>
        <w:rFonts w:hint="eastAsia" w:eastAsia="宋体"/>
        <w:color w:val="C00000"/>
        <w:u w:val="none"/>
        <w:lang w:val="en-US" w:eastAsia="zh-CN"/>
      </w:rPr>
      <w:t xml:space="preserve">                                               </w:t>
    </w:r>
    <w:r>
      <w:rPr>
        <w:rFonts w:hint="eastAsia" w:ascii="宋体" w:hAnsi="宋体" w:eastAsia="宋体" w:cs="宋体"/>
        <w:b/>
        <w:bCs/>
        <w:color w:val="FF0000"/>
        <w:sz w:val="21"/>
        <w:szCs w:val="21"/>
        <w:u w:val="none"/>
        <w:lang w:eastAsia="zh-CN"/>
      </w:rPr>
      <w:t>让学习更快乐  让考试更简单</w:t>
    </w:r>
  </w:p>
  <w:p>
    <w:pPr>
      <w:pStyle w:val="9"/>
    </w:pPr>
    <w:r>
      <w:rPr>
        <w:sz w:val="18"/>
      </w:rPr>
      <w:pict>
        <v:shape id="PowerPlusWaterMarkObject58521" o:spid="_x0000_s4097" o:spt="136" type="#_x0000_t136" style="position:absolute;left:0pt;height:130.15pt;width:457.1pt;mso-position-horizontal:center;mso-position-horizontal-relative:margin;mso-position-vertical:center;mso-position-vertical-relative:margin;rotation:-2949120f;z-index:-251657216;mso-width-relative:page;mso-height-relative:page;" fillcolor="#FF0000" filled="t" stroked="f" coordsize="21600,21600" adj="10800">
          <v:path/>
          <v:fill on="t" opacity="13107f" focussize="0,0"/>
          <v:stroke on="f"/>
          <v:imagedata o:title=""/>
          <o:lock v:ext="edit" aspectratio="t"/>
          <v:textpath on="t" fitshape="t" fitpath="t" trim="t" xscale="f" string="展鸿教育" style="font-family:宋体;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VmZmVkZmY4OTEyMzg3YTg4NGExYjUxZDYxNTc4NjYifQ=="/>
  </w:docVars>
  <w:rsids>
    <w:rsidRoot w:val="00000000"/>
    <w:rsid w:val="001A2B71"/>
    <w:rsid w:val="007C76D8"/>
    <w:rsid w:val="007F1F75"/>
    <w:rsid w:val="016E4C48"/>
    <w:rsid w:val="01B20322"/>
    <w:rsid w:val="046237FB"/>
    <w:rsid w:val="067B15FF"/>
    <w:rsid w:val="06F32D65"/>
    <w:rsid w:val="070E0927"/>
    <w:rsid w:val="09420220"/>
    <w:rsid w:val="094C183D"/>
    <w:rsid w:val="0A9143C0"/>
    <w:rsid w:val="0B02549A"/>
    <w:rsid w:val="0B717599"/>
    <w:rsid w:val="0C2C6653"/>
    <w:rsid w:val="0CCB54CB"/>
    <w:rsid w:val="1054466C"/>
    <w:rsid w:val="117B1481"/>
    <w:rsid w:val="11D235B1"/>
    <w:rsid w:val="120B6697"/>
    <w:rsid w:val="122609B2"/>
    <w:rsid w:val="12E22229"/>
    <w:rsid w:val="12EF63B1"/>
    <w:rsid w:val="14FE2D74"/>
    <w:rsid w:val="163A6C6A"/>
    <w:rsid w:val="16907F0E"/>
    <w:rsid w:val="175B322F"/>
    <w:rsid w:val="17DE2A38"/>
    <w:rsid w:val="19AC0E5E"/>
    <w:rsid w:val="1A502597"/>
    <w:rsid w:val="1ADD353A"/>
    <w:rsid w:val="1AF767FA"/>
    <w:rsid w:val="1B1A6E17"/>
    <w:rsid w:val="1C0E26F1"/>
    <w:rsid w:val="1D881308"/>
    <w:rsid w:val="1E3E3ACF"/>
    <w:rsid w:val="1FAF4E09"/>
    <w:rsid w:val="217610AB"/>
    <w:rsid w:val="22844C79"/>
    <w:rsid w:val="230F6E47"/>
    <w:rsid w:val="2345423C"/>
    <w:rsid w:val="237C4255"/>
    <w:rsid w:val="24164C94"/>
    <w:rsid w:val="263E0CAA"/>
    <w:rsid w:val="291F651D"/>
    <w:rsid w:val="2A855904"/>
    <w:rsid w:val="2B222336"/>
    <w:rsid w:val="2B6C76F7"/>
    <w:rsid w:val="2D002E47"/>
    <w:rsid w:val="2D351399"/>
    <w:rsid w:val="2D8B1025"/>
    <w:rsid w:val="2E7D43AA"/>
    <w:rsid w:val="318A0E2A"/>
    <w:rsid w:val="319C4A45"/>
    <w:rsid w:val="321329FE"/>
    <w:rsid w:val="33342938"/>
    <w:rsid w:val="34D019B1"/>
    <w:rsid w:val="34E75FAC"/>
    <w:rsid w:val="358D13E0"/>
    <w:rsid w:val="3821395E"/>
    <w:rsid w:val="39402F30"/>
    <w:rsid w:val="39536ED6"/>
    <w:rsid w:val="3DC952A7"/>
    <w:rsid w:val="400D0D41"/>
    <w:rsid w:val="40BE539B"/>
    <w:rsid w:val="40FF6025"/>
    <w:rsid w:val="428C4322"/>
    <w:rsid w:val="435D46B7"/>
    <w:rsid w:val="43EE4C4F"/>
    <w:rsid w:val="44344BD3"/>
    <w:rsid w:val="45C90A3C"/>
    <w:rsid w:val="47257B55"/>
    <w:rsid w:val="47643418"/>
    <w:rsid w:val="490D77FC"/>
    <w:rsid w:val="49B81FAD"/>
    <w:rsid w:val="4A4F749D"/>
    <w:rsid w:val="4BBA32EA"/>
    <w:rsid w:val="4D33341E"/>
    <w:rsid w:val="4E33435E"/>
    <w:rsid w:val="4E8B105F"/>
    <w:rsid w:val="4EEF685C"/>
    <w:rsid w:val="4F390D12"/>
    <w:rsid w:val="4F5D647C"/>
    <w:rsid w:val="508A42E0"/>
    <w:rsid w:val="532856E8"/>
    <w:rsid w:val="5331155A"/>
    <w:rsid w:val="53BB2F6F"/>
    <w:rsid w:val="547350A9"/>
    <w:rsid w:val="55864FCA"/>
    <w:rsid w:val="56685A31"/>
    <w:rsid w:val="56953410"/>
    <w:rsid w:val="56A07E12"/>
    <w:rsid w:val="57702421"/>
    <w:rsid w:val="592235ED"/>
    <w:rsid w:val="59A86A7B"/>
    <w:rsid w:val="59C550DA"/>
    <w:rsid w:val="5BF16B17"/>
    <w:rsid w:val="5C07081F"/>
    <w:rsid w:val="5D982E79"/>
    <w:rsid w:val="5EE2041E"/>
    <w:rsid w:val="618532E4"/>
    <w:rsid w:val="61EA4D02"/>
    <w:rsid w:val="624246AE"/>
    <w:rsid w:val="63080855"/>
    <w:rsid w:val="642B3598"/>
    <w:rsid w:val="64380377"/>
    <w:rsid w:val="6497793F"/>
    <w:rsid w:val="64D30F5B"/>
    <w:rsid w:val="65E448DF"/>
    <w:rsid w:val="66206D11"/>
    <w:rsid w:val="6BD26154"/>
    <w:rsid w:val="6C9D61DE"/>
    <w:rsid w:val="6CC96717"/>
    <w:rsid w:val="6DD8594D"/>
    <w:rsid w:val="6ED22936"/>
    <w:rsid w:val="6FA36C90"/>
    <w:rsid w:val="702501AF"/>
    <w:rsid w:val="703C50E2"/>
    <w:rsid w:val="70B4208D"/>
    <w:rsid w:val="7268201E"/>
    <w:rsid w:val="7373521A"/>
    <w:rsid w:val="74B362AE"/>
    <w:rsid w:val="74DB4824"/>
    <w:rsid w:val="74FE255E"/>
    <w:rsid w:val="759B2FC7"/>
    <w:rsid w:val="783C6477"/>
    <w:rsid w:val="79DB41B2"/>
    <w:rsid w:val="7BF509EB"/>
    <w:rsid w:val="7C6076A7"/>
    <w:rsid w:val="7EB53EBA"/>
    <w:rsid w:val="7ECF746E"/>
    <w:rsid w:val="7ED836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288" w:lineRule="auto"/>
      <w:ind w:firstLine="643" w:firstLineChars="200"/>
      <w:jc w:val="both"/>
    </w:pPr>
    <w:rPr>
      <w:rFonts w:ascii="宋体" w:hAnsi="宋体" w:eastAsia="宋体" w:cstheme="minorBidi"/>
      <w:kern w:val="2"/>
      <w:sz w:val="21"/>
      <w:szCs w:val="24"/>
      <w:lang w:val="en-US" w:eastAsia="zh-CN" w:bidi="ar-SA"/>
    </w:rPr>
  </w:style>
  <w:style w:type="paragraph" w:styleId="4">
    <w:name w:val="heading 1"/>
    <w:basedOn w:val="1"/>
    <w:next w:val="1"/>
    <w:link w:val="15"/>
    <w:qFormat/>
    <w:uiPriority w:val="0"/>
    <w:pPr>
      <w:keepNext/>
      <w:keepLines/>
      <w:pageBreakBefore/>
      <w:spacing w:before="100" w:beforeLines="100" w:beforeAutospacing="0" w:after="100" w:afterLines="100" w:afterAutospacing="0" w:line="288" w:lineRule="auto"/>
      <w:jc w:val="center"/>
      <w:outlineLvl w:val="0"/>
    </w:pPr>
    <w:rPr>
      <w:rFonts w:eastAsia="仿宋" w:asciiTheme="minorAscii" w:hAnsiTheme="minorAscii"/>
      <w:b/>
      <w:kern w:val="44"/>
      <w:sz w:val="32"/>
    </w:rPr>
  </w:style>
  <w:style w:type="paragraph" w:styleId="5">
    <w:name w:val="heading 2"/>
    <w:basedOn w:val="1"/>
    <w:next w:val="1"/>
    <w:link w:val="13"/>
    <w:semiHidden/>
    <w:unhideWhenUsed/>
    <w:qFormat/>
    <w:uiPriority w:val="0"/>
    <w:pPr>
      <w:keepNext/>
      <w:keepLines/>
      <w:tabs>
        <w:tab w:val="left" w:pos="420"/>
        <w:tab w:val="left" w:pos="2520"/>
        <w:tab w:val="left" w:pos="4620"/>
        <w:tab w:val="left" w:pos="6720"/>
      </w:tabs>
      <w:spacing w:before="150" w:beforeLines="150" w:beforeAutospacing="0" w:after="150" w:afterLines="150" w:afterAutospacing="0" w:line="288" w:lineRule="auto"/>
      <w:ind w:firstLine="0" w:firstLineChars="0"/>
      <w:jc w:val="center"/>
      <w:outlineLvl w:val="1"/>
    </w:pPr>
    <w:rPr>
      <w:rFonts w:ascii="Arial" w:hAnsi="Arial" w:eastAsia="宋体"/>
      <w:b/>
      <w:sz w:val="24"/>
    </w:rPr>
  </w:style>
  <w:style w:type="paragraph" w:styleId="6">
    <w:name w:val="heading 3"/>
    <w:basedOn w:val="1"/>
    <w:next w:val="1"/>
    <w:link w:val="14"/>
    <w:semiHidden/>
    <w:unhideWhenUsed/>
    <w:qFormat/>
    <w:uiPriority w:val="0"/>
    <w:pPr>
      <w:keepNext/>
      <w:keepLines/>
      <w:tabs>
        <w:tab w:val="left" w:pos="420"/>
        <w:tab w:val="left" w:pos="2520"/>
        <w:tab w:val="left" w:pos="4620"/>
        <w:tab w:val="left" w:pos="6720"/>
      </w:tabs>
      <w:spacing w:before="300" w:beforeLines="0" w:beforeAutospacing="0" w:after="300" w:afterLines="0" w:afterAutospacing="0" w:line="288" w:lineRule="auto"/>
      <w:ind w:firstLine="643" w:firstLineChars="200"/>
      <w:jc w:val="both"/>
      <w:outlineLvl w:val="2"/>
    </w:pPr>
    <w:rPr>
      <w:rFonts w:ascii="黑体" w:hAnsi="黑体" w:eastAsia="黑体"/>
    </w:rPr>
  </w:style>
  <w:style w:type="character" w:default="1" w:styleId="12">
    <w:name w:val="Default Paragraph Font"/>
    <w:unhideWhenUsed/>
    <w:qFormat/>
    <w:uiPriority w:val="1"/>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afterLines="0" w:afterAutospacing="0"/>
      <w:ind w:left="420" w:leftChars="200"/>
    </w:pPr>
  </w:style>
  <w:style w:type="paragraph" w:styleId="7">
    <w:name w:val="Body Text"/>
    <w:basedOn w:val="1"/>
    <w:qFormat/>
    <w:uiPriority w:val="0"/>
    <w:pPr>
      <w:spacing w:after="120" w:afterLines="0" w:afterAutospacing="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3">
    <w:name w:val="标题 2 Char"/>
    <w:basedOn w:val="12"/>
    <w:link w:val="5"/>
    <w:qFormat/>
    <w:uiPriority w:val="0"/>
    <w:rPr>
      <w:rFonts w:ascii="Arial" w:hAnsi="Arial" w:eastAsia="宋体" w:cs="Microsoft JhengHei"/>
      <w:b/>
      <w:bCs/>
      <w:color w:val="auto"/>
      <w:kern w:val="0"/>
      <w:sz w:val="24"/>
      <w:szCs w:val="20"/>
    </w:rPr>
  </w:style>
  <w:style w:type="character" w:customStyle="1" w:styleId="14">
    <w:name w:val="标题 3 Char"/>
    <w:link w:val="6"/>
    <w:qFormat/>
    <w:uiPriority w:val="0"/>
    <w:rPr>
      <w:rFonts w:ascii="黑体" w:hAnsi="黑体" w:eastAsia="黑体" w:cs="黑体"/>
      <w:kern w:val="2"/>
      <w:sz w:val="21"/>
      <w:szCs w:val="22"/>
    </w:rPr>
  </w:style>
  <w:style w:type="character" w:customStyle="1" w:styleId="15">
    <w:name w:val="标题 1 Char"/>
    <w:link w:val="4"/>
    <w:qFormat/>
    <w:uiPriority w:val="0"/>
    <w:rPr>
      <w:rFonts w:hint="default" w:ascii="仿宋" w:hAnsi="仿宋" w:eastAsia="仿宋" w:cs="宋体"/>
      <w:b/>
      <w:kern w:val="44"/>
      <w:sz w:val="30"/>
    </w:rPr>
  </w:style>
  <w:style w:type="paragraph" w:customStyle="1" w:styleId="16">
    <w:name w:val="参考答案"/>
    <w:basedOn w:val="1"/>
    <w:qFormat/>
    <w:uiPriority w:val="0"/>
    <w:pPr>
      <w:spacing w:line="240" w:lineRule="auto"/>
    </w:pPr>
    <w:rPr>
      <w:rFonts w:ascii="Times New Roman" w:hAnsi="Times New Roman" w:eastAsia="宋体"/>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1321</Words>
  <Characters>1329</Characters>
  <Lines>0</Lines>
  <Paragraphs>0</Paragraphs>
  <TotalTime>9</TotalTime>
  <ScaleCrop>false</ScaleCrop>
  <LinksUpToDate>false</LinksUpToDate>
  <CharactersWithSpaces>1329</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2019-12-24T07:01:00Z</dcterms:created>
  <dc:creator>Administrator</dc:creator>
  <cp:lastModifiedBy>admin</cp:lastModifiedBy>
  <dcterms:modified xsi:type="dcterms:W3CDTF">2022-07-21T01:33:24Z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92C80F6D5B374D5FA71E23E51E867F83</vt:lpwstr>
  </property>
</Properties>
</file>