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288"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考生在平时可以多阅读一些权威媒体的报道或时评，一是对阅读素材的积累，二是对写作手法的借鉴。展鸿教育挑选了一些文章，供各位考生阅读参考：</w:t>
      </w:r>
    </w:p>
    <w:p>
      <w:pPr>
        <w:pStyle w:val="7"/>
        <w:widowControl/>
        <w:spacing w:beforeAutospacing="0" w:afterAutospacing="0" w:line="288" w:lineRule="auto"/>
        <w:ind w:firstLine="420" w:firstLineChars="200"/>
        <w:jc w:val="both"/>
        <w:rPr>
          <w:rFonts w:ascii="宋体" w:hAnsi="宋体" w:eastAsia="宋体" w:cs="宋体"/>
          <w:sz w:val="21"/>
          <w:szCs w:val="21"/>
        </w:rPr>
      </w:pPr>
    </w:p>
    <w:tbl>
      <w:tblPr>
        <w:tblStyle w:val="8"/>
        <w:tblW w:w="9371" w:type="dxa"/>
        <w:tblInd w:w="93" w:type="dxa"/>
        <w:tblLayout w:type="autofit"/>
        <w:tblCellMar>
          <w:top w:w="0" w:type="dxa"/>
          <w:left w:w="108" w:type="dxa"/>
          <w:bottom w:w="0" w:type="dxa"/>
          <w:right w:w="108" w:type="dxa"/>
        </w:tblCellMar>
      </w:tblPr>
      <w:tblGrid>
        <w:gridCol w:w="2000"/>
        <w:gridCol w:w="7371"/>
      </w:tblGrid>
      <w:tr>
        <w:tblPrEx>
          <w:tblCellMar>
            <w:top w:w="0" w:type="dxa"/>
            <w:left w:w="108" w:type="dxa"/>
            <w:bottom w:w="0" w:type="dxa"/>
            <w:right w:w="108" w:type="dxa"/>
          </w:tblCellMar>
        </w:tblPrEx>
        <w:trPr>
          <w:trHeight w:val="285" w:hRule="atLeast"/>
        </w:trPr>
        <w:tc>
          <w:tcPr>
            <w:tcW w:w="200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8月20日</w:t>
            </w:r>
          </w:p>
        </w:tc>
        <w:tc>
          <w:tcPr>
            <w:tcW w:w="7371"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长志气</w:t>
            </w:r>
            <w:r>
              <w:rPr>
                <w:rFonts w:eastAsia="宋体" w:cs="Tahoma"/>
                <w:color w:val="000000"/>
              </w:rPr>
              <w:t xml:space="preserve"> </w:t>
            </w:r>
            <w:r>
              <w:rPr>
                <w:rFonts w:hint="eastAsia" w:ascii="宋体" w:hAnsi="宋体" w:eastAsia="宋体" w:cs="Tahoma"/>
                <w:color w:val="000000"/>
              </w:rPr>
              <w:t>硬骨气</w:t>
            </w:r>
            <w:r>
              <w:rPr>
                <w:rFonts w:eastAsia="宋体" w:cs="Tahoma"/>
                <w:color w:val="000000"/>
              </w:rPr>
              <w:t xml:space="preserve"> </w:t>
            </w:r>
            <w:r>
              <w:rPr>
                <w:rFonts w:hint="eastAsia" w:ascii="宋体" w:hAnsi="宋体" w:eastAsia="宋体" w:cs="Tahoma"/>
                <w:color w:val="000000"/>
              </w:rPr>
              <w:t>蓄底气</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8月19日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让数字化赋能治理精细化</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8月18日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中国式现代化新道路</w:t>
            </w:r>
            <w:r>
              <w:rPr>
                <w:rFonts w:eastAsia="宋体" w:cs="Tahoma"/>
                <w:color w:val="000000"/>
              </w:rPr>
              <w:t>“</w:t>
            </w:r>
            <w:r>
              <w:rPr>
                <w:rFonts w:hint="eastAsia" w:ascii="宋体" w:hAnsi="宋体" w:eastAsia="宋体" w:cs="Tahoma"/>
                <w:color w:val="000000"/>
              </w:rPr>
              <w:t>新</w:t>
            </w:r>
            <w:r>
              <w:rPr>
                <w:rFonts w:eastAsia="宋体" w:cs="Tahoma"/>
                <w:color w:val="000000"/>
              </w:rPr>
              <w:t>”</w:t>
            </w:r>
            <w:r>
              <w:rPr>
                <w:rFonts w:hint="eastAsia" w:ascii="宋体" w:hAnsi="宋体" w:eastAsia="宋体" w:cs="Tahoma"/>
                <w:color w:val="000000"/>
              </w:rPr>
              <w:t>在哪里</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8月17日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我们的征途是星辰大海</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8月14日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激发短视频创作的正能量</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8月13日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给网络产品安全“打补丁”正当其时</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8月12日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永远保持同人民群众的血肉联系</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8月11日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凝聚文化自信的力量</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8月10日</w:t>
            </w:r>
          </w:p>
        </w:tc>
        <w:tc>
          <w:tcPr>
            <w:tcW w:w="7371"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Tahoma"/>
                <w:color w:val="000000"/>
              </w:rPr>
            </w:pPr>
            <w:r>
              <w:rPr>
                <w:rFonts w:hint="eastAsia" w:ascii="宋体" w:hAnsi="宋体" w:eastAsia="宋体" w:cs="Tahoma"/>
                <w:color w:val="000000"/>
              </w:rPr>
              <w:t>世界遗产大会——守护共同记忆，传承人类文明</w:t>
            </w:r>
          </w:p>
        </w:tc>
      </w:tr>
    </w:tbl>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rPr>
          <w:rFonts w:hint="eastAsia" w:ascii="宋体" w:hAnsi="宋体" w:eastAsia="宋体" w:cs="宋体"/>
          <w:sz w:val="21"/>
          <w:szCs w:val="21"/>
        </w:rPr>
      </w:pPr>
    </w:p>
    <w:p>
      <w:pPr>
        <w:pStyle w:val="7"/>
        <w:widowControl/>
        <w:spacing w:beforeAutospacing="0" w:afterAutospacing="0"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8月20日</w:t>
      </w:r>
    </w:p>
    <w:p>
      <w:pPr>
        <w:pStyle w:val="7"/>
        <w:widowControl/>
        <w:spacing w:beforeAutospacing="0" w:afterAutospacing="0" w:line="288" w:lineRule="auto"/>
        <w:ind w:firstLine="562" w:firstLineChars="200"/>
        <w:jc w:val="center"/>
        <w:rPr>
          <w:rFonts w:ascii="微软雅黑" w:hAnsi="微软雅黑" w:eastAsia="微软雅黑"/>
          <w:color w:val="000000"/>
          <w:sz w:val="57"/>
          <w:szCs w:val="57"/>
        </w:rPr>
      </w:pPr>
      <w:r>
        <w:rPr>
          <w:rFonts w:hint="eastAsia"/>
          <w:b/>
          <w:sz w:val="28"/>
          <w:szCs w:val="28"/>
        </w:rPr>
        <w:t>申论范文：长志气 硬骨气 蓄底气</w:t>
      </w:r>
    </w:p>
    <w:p>
      <w:pPr>
        <w:adjustRightInd/>
        <w:snapToGrid/>
        <w:spacing w:before="345" w:after="0" w:line="400" w:lineRule="atLeast"/>
        <w:ind w:firstLine="440" w:firstLineChars="200"/>
        <w:jc w:val="both"/>
      </w:pPr>
      <w:r>
        <w:rPr>
          <w:rFonts w:hint="eastAsia"/>
        </w:rPr>
        <w:t>青年一代有理想、有担当，国家就有前途，民族就有希望。习近平总书记在庆祝中国共产党成立100周年大会上强调：“新时代的中国青年要以实现中华民族伟大复兴为己任，增强做中国人的志气、骨气、底气，不负时代，不负韶华，不负党和人民的殷切期望！”亲切的勉励、深情的寄语，鼓舞新时代的中国青年以长志气、硬骨气、蓄底气的姿态，在新的征程上奋力奔跑，为党和人民建立新功业。</w:t>
      </w:r>
    </w:p>
    <w:p>
      <w:pPr>
        <w:adjustRightInd/>
        <w:snapToGrid/>
        <w:spacing w:before="345" w:after="0" w:line="400" w:lineRule="atLeast"/>
        <w:jc w:val="both"/>
        <w:rPr>
          <w:rFonts w:hint="eastAsia"/>
        </w:rPr>
      </w:pPr>
      <w:r>
        <w:rPr>
          <w:rFonts w:hint="eastAsia"/>
        </w:rPr>
        <w:t>　　志不立，天下无可成之事。我们要坚定理想信念，做有志气的新时代青年。长志气，就要不断筑牢信仰之基、补足精神之钙、把稳思想之舵，以坚定的理想信念砥砺对党的赤诚忠心。中共一大代表平均年龄28岁，长征途中红军将领平均年龄不足25岁，嫦娥团队、神舟团队平均年龄33岁，北斗团队平均年龄35岁……一代代充满救国报国强国志气的优秀青年，把青春和热血融入祖国江河，展示了磅礴力量。新时代的中国青年要心怀“国之大者”，把立大志、明大德、成大才、担大任作为人生追求，在感悟真理力量中坚定志气，在学思践悟中坚定理想信念，在奋发有为中践行初心使命。</w:t>
      </w:r>
    </w:p>
    <w:p>
      <w:pPr>
        <w:adjustRightInd/>
        <w:snapToGrid/>
        <w:spacing w:before="345" w:after="0" w:line="400" w:lineRule="atLeast"/>
        <w:jc w:val="both"/>
        <w:rPr>
          <w:rFonts w:hint="eastAsia"/>
        </w:rPr>
      </w:pPr>
      <w:r>
        <w:rPr>
          <w:rFonts w:hint="eastAsia"/>
        </w:rPr>
        <w:t>　　人无刚骨，安身不牢。在党的百年奋斗中，一代代青年勇立潮头，争做先锋，展现了中国人的骨气。这种骨气体现在“风雨浸衣骨更硬，野菜充饥志越坚”的红军战士身上，体现在“宁肯少活二十年，拼命也要拿下大油田”的铁人王进喜身上，体现在“宁洒热血，不失寸土”的新时代卫国戍边的英雄官兵身上。硬骨气，必须弘扬优良传统，赓续红色血脉，涵养“越是艰险越向前”的英雄气概，坚持“敢教日月换新天”的昂扬斗志，坚守“富贵不能淫，贫贱不能移，威武不能屈”的操守气节。让骨气充盈，让精神强健，才能更好肩负起实现民族复兴的重任。</w:t>
      </w:r>
    </w:p>
    <w:p>
      <w:pPr>
        <w:adjustRightInd/>
        <w:snapToGrid/>
        <w:spacing w:before="345" w:after="0" w:line="400" w:lineRule="atLeast"/>
        <w:jc w:val="both"/>
        <w:rPr>
          <w:rFonts w:hint="eastAsia"/>
        </w:rPr>
      </w:pPr>
      <w:r>
        <w:rPr>
          <w:rFonts w:hint="eastAsia"/>
        </w:rPr>
        <w:t>　　自信源于底气，底气源于努力。中国已经彻底告别了任人宰割的历史，中华民族迎来了从站起来、富起来到强起来的伟大飞跃，实现中华民族伟大复兴进入了不可逆转的历史进程。这份底气，源于五千多年中华文明的深厚底蕴，源于党的坚强领导和中国人民的艰苦奋斗。新时代的中国青年生逢强国盛世，肩负奋斗重任。蓄底气，意味着自信面对未来，善于担当作为。不断追求“我将无我，不负人民”的精神境界，深刻理解把握时代潮流和国家需要，顽强拼搏、开拓进取，才能以实干成就一番事业。</w:t>
      </w:r>
    </w:p>
    <w:p>
      <w:pPr>
        <w:adjustRightInd/>
        <w:snapToGrid/>
        <w:spacing w:before="345" w:after="0" w:line="400" w:lineRule="atLeast"/>
        <w:jc w:val="both"/>
        <w:rPr>
          <w:rFonts w:hint="eastAsia"/>
        </w:rPr>
      </w:pPr>
      <w:r>
        <w:rPr>
          <w:rFonts w:hint="eastAsia"/>
        </w:rPr>
        <w:t>　　志气、骨气、底气，相互依存、相辅相成。新时代中国青年只有不断长志气、硬骨气、蓄底气，接续奋斗、砥砺前行，才能不负时代、不负韶华，以实际行动交出合格答卷。</w:t>
      </w:r>
    </w:p>
    <w:p>
      <w:pPr>
        <w:ind w:firstLine="420"/>
        <w:jc w:val="right"/>
      </w:pPr>
      <w:r>
        <w:rPr>
          <w:rFonts w:hint="eastAsia"/>
        </w:rPr>
        <w:t>来源：人民日报</w:t>
      </w:r>
    </w:p>
    <w:p>
      <w:pPr>
        <w:ind w:firstLine="420"/>
        <w:jc w:val="right"/>
      </w:pPr>
      <w:r>
        <w:rPr>
          <w:rFonts w:hint="eastAsia"/>
        </w:rPr>
        <w:t>编辑：展鸿教育</w:t>
      </w:r>
    </w:p>
    <w:p>
      <w:pPr>
        <w:pStyle w:val="7"/>
        <w:widowControl/>
        <w:spacing w:beforeAutospacing="0" w:afterAutospacing="0" w:line="288" w:lineRule="auto"/>
        <w:ind w:firstLine="420" w:firstLineChars="200"/>
        <w:jc w:val="both"/>
        <w:rPr>
          <w:rFonts w:hint="eastAsia"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8月19日</w:t>
      </w:r>
    </w:p>
    <w:p>
      <w:pPr>
        <w:pStyle w:val="7"/>
        <w:widowControl/>
        <w:spacing w:beforeAutospacing="0" w:afterAutospacing="0" w:line="288" w:lineRule="auto"/>
        <w:ind w:firstLine="562" w:firstLineChars="200"/>
        <w:jc w:val="center"/>
        <w:rPr>
          <w:b/>
          <w:sz w:val="28"/>
          <w:szCs w:val="28"/>
        </w:rPr>
      </w:pPr>
      <w:r>
        <w:rPr>
          <w:rFonts w:hint="eastAsia"/>
          <w:b/>
          <w:sz w:val="28"/>
          <w:szCs w:val="28"/>
        </w:rPr>
        <w:t>申论范文：让数字化赋能治理精细化</w:t>
      </w:r>
    </w:p>
    <w:p>
      <w:pPr>
        <w:pStyle w:val="7"/>
        <w:widowControl/>
        <w:spacing w:beforeAutospacing="0" w:afterAutospacing="0" w:line="288" w:lineRule="auto"/>
        <w:ind w:firstLine="420" w:firstLineChars="200"/>
        <w:jc w:val="both"/>
        <w:rPr>
          <w:rFonts w:ascii="宋体" w:hAnsi="宋体" w:eastAsia="宋体" w:cs="宋体"/>
          <w:sz w:val="21"/>
          <w:szCs w:val="21"/>
        </w:rPr>
      </w:pPr>
    </w:p>
    <w:p>
      <w:pPr>
        <w:ind w:firstLine="420"/>
      </w:pPr>
      <w:r>
        <w:rPr>
          <w:rFonts w:hint="eastAsia"/>
        </w:rPr>
        <w:t>习近平总书记指出：“运用大数据、云计算、区块链、人工智能等前沿技术推动城市管理手段、管理模式、管理理念创新，从数字化到智能化再到智慧化，让城市更聪明一些、更智慧一些，是推动城市治理体系和治理能力现代化的必由之路，前景广阔。”这一重要要求为推进治理现代化建设指明了方向，也启示我们，优化营商环境，数字化技术大有可为、大有作为。</w:t>
      </w:r>
    </w:p>
    <w:p>
      <w:pPr>
        <w:ind w:firstLine="420"/>
      </w:pPr>
      <w:r>
        <w:rPr>
          <w:rFonts w:hint="eastAsia"/>
        </w:rPr>
        <w:t>今年初，浙江部署推进数字化改革，提出“1+5+2”体系，“1”是一体化智能化公共数据平台；“5”是5个综合应用，分别是党政机关整体智治综合应用、数字政府综合应用、数字经济综合应用、数字社会综合应用和数字法治综合应用；“2”是数字化改革的理论体系和制度规范体系。在此背景下，嘉兴加快建设“企明星”惠企政策全过程治理集成应用，打通政企双向互动通道，解决政府资源和企业需求结构性错配、政企信息不对称等问题，实现惠企政策全过程治理和企业成长全周期服务，推动政府与企业良性互动。</w:t>
      </w:r>
    </w:p>
    <w:p>
      <w:pPr>
        <w:ind w:firstLine="422"/>
      </w:pPr>
      <w:r>
        <w:rPr>
          <w:rFonts w:hint="eastAsia"/>
          <w:b/>
          <w:bCs/>
        </w:rPr>
        <w:t>以数字化助推政企良性互动，需要聚焦各方需求。</w:t>
      </w:r>
      <w:r>
        <w:rPr>
          <w:rFonts w:hint="eastAsia"/>
        </w:rPr>
        <w:t>企业发展需要政策支持，降低找政策的难度、提高解读政策的准度是企业的迫切需求。摸清全域企业现状，了解企业需求，高效精准推进政策落地是政府治理的重要目标。为此，嘉兴探索集成化的数字治理平台，让企业第一时间找到政策、掌握政策。同时，这一平台也是政府了解企业、服务企业的媒介，搭建了政企交流沟通的桥梁。</w:t>
      </w:r>
    </w:p>
    <w:p>
      <w:pPr>
        <w:ind w:firstLine="422"/>
      </w:pPr>
      <w:r>
        <w:rPr>
          <w:rFonts w:hint="eastAsia"/>
          <w:b/>
          <w:bCs/>
        </w:rPr>
        <w:t>以数字化助推政企良性互动，需要用活“抽屉里的数据”。</w:t>
      </w:r>
      <w:r>
        <w:rPr>
          <w:rFonts w:hint="eastAsia"/>
        </w:rPr>
        <w:t>浙江数字化改革，将原本锁在各部门“小抽屉”里的数据，纳入党委政府“大仓库”统一管理。据此，嘉兴依托“企明星”惠企政策全过程治理应用，进行政策颗粒化拆解、企业全景式画像、数据双向碰撞，推动跨部门跨层级的数据资源整合、业务协同、流程再造，切实用活用好“抽屉里的数据”。在南湖区，已汇集打通的涉企数据达128类19亿条，这些数据能够为区内所有市场主体进行画像。</w:t>
      </w:r>
    </w:p>
    <w:p>
      <w:pPr>
        <w:ind w:firstLine="422"/>
      </w:pPr>
      <w:r>
        <w:rPr>
          <w:rFonts w:hint="eastAsia"/>
          <w:b/>
          <w:bCs/>
        </w:rPr>
        <w:t>以数字化助推政企良性互动，需要引导企业参与。</w:t>
      </w:r>
      <w:r>
        <w:rPr>
          <w:rFonts w:hint="eastAsia"/>
        </w:rPr>
        <w:t>实施政策，不能局限于政策执行兑付环节。嘉兴瞄准政策实施全过程，将政策制定、发布、执行、监督、评估纳入闭环管理，增强企业参与度，提升治理精细化水平。比如，开展意见“云征集”，企业可以在线参与政策制定；通过沙盘模拟，企业可提前获知不同发展阶段能享受的政策红利。这些举措有力推动了政企高效互动、协同共治。</w:t>
      </w:r>
    </w:p>
    <w:p>
      <w:pPr>
        <w:ind w:firstLine="422"/>
      </w:pPr>
      <w:r>
        <w:rPr>
          <w:rFonts w:hint="eastAsia"/>
          <w:b/>
          <w:bCs/>
        </w:rPr>
        <w:t>以数字化助推政企良性互动，需要提升治理效能。</w:t>
      </w:r>
      <w:r>
        <w:rPr>
          <w:rFonts w:hint="eastAsia"/>
        </w:rPr>
        <w:t>我们对涉企政策条目进行拆解，依托信息技术，智能采集区域内企业属性数据（如注册资本）、活动数据（如资质认定）、填报数据（如项目投资额）等重点数据信息。通过对区域内企业工业增加值、税收、科研投入、单位能耗、单位排污等数据的全量分析，生成市场运行态势图，及时掌握企业运行状况和政策执行情况，推动区域资源的高效配置，营造公平可预期的市场环境。</w:t>
      </w:r>
    </w:p>
    <w:p>
      <w:pPr>
        <w:ind w:firstLine="420"/>
      </w:pPr>
      <w:r>
        <w:rPr>
          <w:rFonts w:hint="eastAsia"/>
        </w:rPr>
        <w:t>《中共中央国务院关于加强基层治理体系和治理能力现代化建设的意见》明确提出：“加强基层智慧治理能力建设”。以数字化信息化赋能治理精细化，着力提升治理智慧化能力和水平，就一定能不断提升公共服务均等化、普惠化、便捷化水平，更好造福人民群众。</w:t>
      </w:r>
    </w:p>
    <w:p>
      <w:pPr>
        <w:ind w:firstLine="420"/>
        <w:jc w:val="right"/>
      </w:pPr>
      <w:r>
        <w:rPr>
          <w:rFonts w:hint="eastAsia"/>
        </w:rPr>
        <w:t>来源：人民日报</w:t>
      </w:r>
    </w:p>
    <w:p>
      <w:pPr>
        <w:ind w:firstLine="420"/>
        <w:jc w:val="right"/>
      </w:pPr>
      <w:r>
        <w:rPr>
          <w:rFonts w:hint="eastAsia"/>
        </w:rPr>
        <w:t>编辑：展鸿教育</w:t>
      </w: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8月18日</w:t>
      </w:r>
    </w:p>
    <w:p>
      <w:pPr>
        <w:pStyle w:val="7"/>
        <w:widowControl/>
        <w:spacing w:beforeAutospacing="0" w:afterAutospacing="0" w:line="288" w:lineRule="auto"/>
        <w:ind w:firstLine="562" w:firstLineChars="200"/>
        <w:jc w:val="center"/>
        <w:rPr>
          <w:b/>
          <w:sz w:val="28"/>
        </w:rPr>
      </w:pPr>
      <w:r>
        <w:rPr>
          <w:rFonts w:hint="eastAsia"/>
          <w:b/>
          <w:sz w:val="28"/>
        </w:rPr>
        <w:t>申论阅读：中国式现代化新道路“新”在哪里</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在庆祝中国共产党成立100周年大会上，习近平总书记向全国和全世界人民宣告中国已经全面建成小康社会，正式开启了实现全面建设社会主义现代化强国的新征程。</w:t>
      </w:r>
      <w:r>
        <w:rPr>
          <w:rFonts w:hint="eastAsia" w:ascii="宋体" w:hAnsi="宋体" w:eastAsia="宋体" w:cs="宋体"/>
          <w:b/>
          <w:bCs/>
          <w:sz w:val="21"/>
          <w:szCs w:val="21"/>
        </w:rPr>
        <w:t>在新征程上如何走好中国式的现代化道路，习近平总书记又创造性地提出了“中国式现代化新道路”的重要论断。</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中国式的现代化”是邓小平同志最早概括出来的。1979年12月6日，邓小平在会见时任日本首相大平正芳时提出：“我们要实现的四个现代化，是中国式的四个现代化。我们的四个现代化的概念，不是像你们那样的现代化的概念，而是‘小康之家’。”提出走中国式的现代化道路以来，我们党带领人民始终坚持发展是硬道理的战略思想，自觉把发展作为党执政兴国的第一要务，一心一意谋发展、聚精会神搞建设，如期全面建成小康社会，历史性地解决了绝对贫困问题，实现了我们党确立的第一个百年奋斗目标，成功走出了一条“中国式现代化新道路”。</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对于这条新道路的内涵，习近平总书记在党的十九届五中全会上作了明确阐述，此后他在省部级主要领导干部学习贯彻党的十九届五中全会精神专题研讨班上进一步指出：“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w:t>
      </w:r>
    </w:p>
    <w:p>
      <w:pPr>
        <w:pStyle w:val="7"/>
        <w:widowControl/>
        <w:spacing w:beforeAutospacing="0" w:afterAutospacing="0" w:line="288" w:lineRule="auto"/>
        <w:ind w:firstLine="420" w:firstLineChars="200"/>
        <w:jc w:val="both"/>
        <w:rPr>
          <w:rFonts w:ascii="宋体" w:hAnsi="宋体" w:eastAsia="宋体" w:cs="宋体"/>
          <w:b/>
          <w:bCs/>
          <w:sz w:val="21"/>
          <w:szCs w:val="21"/>
        </w:rPr>
      </w:pPr>
      <w:r>
        <w:rPr>
          <w:rFonts w:hint="eastAsia" w:ascii="宋体" w:hAnsi="宋体" w:eastAsia="宋体" w:cs="宋体"/>
          <w:sz w:val="21"/>
          <w:szCs w:val="21"/>
        </w:rPr>
        <w:t>从这个定义中不难看出，</w:t>
      </w:r>
      <w:r>
        <w:rPr>
          <w:rFonts w:hint="eastAsia" w:ascii="宋体" w:hAnsi="宋体" w:eastAsia="宋体" w:cs="宋体"/>
          <w:b/>
          <w:bCs/>
          <w:sz w:val="21"/>
          <w:szCs w:val="21"/>
        </w:rPr>
        <w:t>这条“中国式现代化新道路”，首先它不仅包括人民物质文化生活水平的提高，还包括经济建设、政治建设、文化建设、社会建设和生态文明建设的“五位一体”；不仅包括物质文明与精神文明相协调，还包括物质文明、政治文明、精神文明、社会文明、生态文明的协调发展。</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其次就“新”在它完全不同于西方发达国家的现代化道路。</w:t>
      </w:r>
      <w:r>
        <w:rPr>
          <w:rFonts w:hint="eastAsia" w:ascii="宋体" w:hAnsi="宋体" w:eastAsia="宋体" w:cs="宋体"/>
          <w:sz w:val="21"/>
          <w:szCs w:val="21"/>
        </w:rPr>
        <w:t>西方发达国家的现代化大多数都伴随着对外殖民掠夺和对外侵略，许多发达国家在实现现代化后，不同程度地出现贫富两极分化和社会分裂。而中国式现代化新道路则是旨在反对走“国强必霸”、战争掠夺和对外转嫁污染的西式现代化老路，是对外强调推进世界和平发展、构建人类命运共同体，对内强调人与自然和谐共生、全体人民共同富裕的现代化，进而开辟了人类实现现代化的新道路。</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再次就“新”在它是世界上从未有过的超大人口规模的现代化。</w:t>
      </w:r>
      <w:r>
        <w:rPr>
          <w:rFonts w:hint="eastAsia" w:ascii="宋体" w:hAnsi="宋体" w:eastAsia="宋体" w:cs="宋体"/>
          <w:sz w:val="21"/>
          <w:szCs w:val="21"/>
        </w:rPr>
        <w:t>如何实现如此人口规模超大的现代化，无论是难度，还是其世界意义都前所未有，从而更加丰富了走向现代化的路径。习近平总书记在中国共产党与世界政党领导人峰会上的主旨讲话中指出：“中国共产党将团结带领中国人民深入推进中国式现代化，为人类对现代化道路的探索作出新贡献。”这就再次向世界宣告，中国不仅要坚定不移地走中国特色的现代化新道路，而且要以中国式现代化新道路来引领世界现代化新潮流。</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中国式现代化新道路方向和要求已经明确，关键要走好这条新道路。</w:t>
      </w:r>
      <w:r>
        <w:rPr>
          <w:rFonts w:hint="eastAsia" w:ascii="宋体" w:hAnsi="宋体" w:eastAsia="宋体" w:cs="宋体"/>
          <w:sz w:val="21"/>
          <w:szCs w:val="21"/>
        </w:rPr>
        <w:t>首先，</w:t>
      </w:r>
      <w:r>
        <w:rPr>
          <w:rFonts w:hint="eastAsia" w:ascii="宋体" w:hAnsi="宋体" w:eastAsia="宋体" w:cs="宋体"/>
          <w:b/>
          <w:bCs/>
          <w:sz w:val="21"/>
          <w:szCs w:val="21"/>
        </w:rPr>
        <w:t>认真总结全面建成小康社会的成功经验，继续坚持党的基本理论、基本路线、基本方略不动摇。</w:t>
      </w:r>
      <w:r>
        <w:rPr>
          <w:rFonts w:hint="eastAsia" w:ascii="宋体" w:hAnsi="宋体" w:eastAsia="宋体" w:cs="宋体"/>
          <w:sz w:val="21"/>
          <w:szCs w:val="21"/>
        </w:rPr>
        <w:t>这里强调坚持“基本理论”就是指要矢志不渝坚持马克思列宁主义指导地位，自觉用毛泽东思想、邓小平理论、“三个代表”重要思想、科学发展观，尤其是要以作为21世纪马克思主义的习近平新时代中国特色社会主义思想武装全党，指导全面建设社会主义现代化国家实践。坚持“基本路线”就是指要始终坚持党的十三大概括的“领导和团结全国各族人民，以经济建设为中心，坚持四项基本原则，坚持改革开放，自力更生，艰苦创业，为把我国建设成为富强、民主、文明的社会主义现代化国家而奋斗”社会主义初级阶段的基本路线，这也是“党和国家的生命线、人民的幸福线”。坚持“基本方略”就是指要始终坚持党的十九大提出的“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的十四条基本方略。</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其次，“立足新发展阶段，完整、准确、全面贯彻新发展理念，构建新发展格局，推动高质量发展，推进科技自立自强”。</w:t>
      </w:r>
      <w:r>
        <w:rPr>
          <w:rFonts w:hint="eastAsia" w:ascii="宋体" w:hAnsi="宋体" w:eastAsia="宋体" w:cs="宋体"/>
          <w:sz w:val="21"/>
          <w:szCs w:val="21"/>
        </w:rPr>
        <w:t>构建新发展格局的关键在于经济循环的畅通无阻，最本质的特征是实现高水平的自立自强。唯有构建起以国内大循环为主体、国内国际双循环相互促进的新发展格局，我们才能为我国经济发展提供持续动力。</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作为世界上最大的发展中国家，中国开拓现代化新道路，不仅为世界上众多渴望独立发展、渴望现代化的国家提供了中国方案，而且将引领世界现代化新潮流。</w:t>
      </w: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来源：光明日报</w:t>
      </w:r>
    </w:p>
    <w:p>
      <w:pPr>
        <w:pStyle w:val="7"/>
        <w:widowControl/>
        <w:spacing w:beforeAutospacing="0" w:afterAutospacing="0" w:line="288" w:lineRule="auto"/>
        <w:ind w:firstLine="420" w:firstLineChars="200"/>
        <w:jc w:val="right"/>
        <w:rPr>
          <w:rFonts w:ascii="宋体" w:hAnsi="宋体" w:eastAsia="宋体" w:cs="宋体"/>
          <w:color w:val="222222"/>
          <w:sz w:val="21"/>
          <w:szCs w:val="21"/>
        </w:rPr>
      </w:pPr>
      <w:r>
        <w:rPr>
          <w:rFonts w:hint="eastAsia" w:ascii="宋体" w:hAnsi="宋体" w:eastAsia="宋体" w:cs="宋体"/>
          <w:color w:val="222222"/>
          <w:sz w:val="21"/>
          <w:szCs w:val="21"/>
        </w:rPr>
        <w:t>编辑：展鸿教育</w:t>
      </w: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8月17日</w:t>
      </w:r>
    </w:p>
    <w:p>
      <w:pPr>
        <w:pStyle w:val="7"/>
        <w:widowControl/>
        <w:spacing w:beforeAutospacing="0" w:afterAutospacing="0" w:line="288" w:lineRule="auto"/>
        <w:ind w:firstLine="562" w:firstLineChars="200"/>
        <w:jc w:val="center"/>
        <w:rPr>
          <w:b/>
          <w:sz w:val="28"/>
        </w:rPr>
      </w:pPr>
      <w:r>
        <w:rPr>
          <w:rFonts w:hint="eastAsia"/>
          <w:b/>
          <w:sz w:val="28"/>
        </w:rPr>
        <w:t>申论阅读：我们的征途是星辰大海</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2021年6月17日9时22分，搭载神舟十二号载人飞船的长征二号F遥十二运载火箭，在酒泉卫星发射中心点火发射。神舟十二号载人飞船与火箭成功分离，进入预定轨道，顺利将聂海胜、刘伯明、汤洪波3名航天员送入太空，飞行乘组状态良好，发射取得圆满成功。这是我国载人航天工程立项实施以来的第19次飞行任务，也是空间站阶段的首次载人飞行任务。组合体飞行期间，航天员将进驻天和核心舱，完成为期3个月的在轨驻留，开展机械臂操作、太空出舱等活动，验证航天员长期在轨驻留、再生生保等一系列关键技术。</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我们的征途是星辰大海。</w:t>
      </w:r>
      <w:r>
        <w:rPr>
          <w:rFonts w:hint="eastAsia" w:ascii="宋体" w:hAnsi="宋体" w:eastAsia="宋体" w:cs="宋体"/>
          <w:sz w:val="21"/>
          <w:szCs w:val="21"/>
        </w:rPr>
        <w:t>1992年，我国提出实施载人航天工程“三步走”发展战略，如今已进入第三步——“建造空间站，解决有较大规模的、长期有人照料的空间应用问题”。空间站是在近地轨道上运行的大中型载人航天器，能够让人长久在太空生活，靠货运飞船实现推进剂和消耗品的补充，可以通过航天员进行设备维修与更换而延长寿命或改变、扩充功能，堪称太空定居点。从发射载人飞船将航天员送入太空，到太空出舱、发射空间实验室，中国载人航天工程先后用载人飞船、无人飞船、货运飞船、目标飞行器、空间实验室，支持中国航天员完成多趟太空之旅。环环相扣，循序渐进，正是通过历次飞行任务，先后突破掌握了天地往返、太空出舱、交会对接等关键技术，为空间站铺就了一条稳妥可靠的建造之路。</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深化国际合作交流的新名片。</w:t>
      </w:r>
      <w:r>
        <w:rPr>
          <w:rFonts w:hint="eastAsia" w:ascii="宋体" w:hAnsi="宋体" w:eastAsia="宋体" w:cs="宋体"/>
          <w:sz w:val="21"/>
          <w:szCs w:val="21"/>
        </w:rPr>
        <w:t>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世界多个国家和国际组织实施发射任务，提供搭载服务，宇航产品成为我国高端装备“走出去”新名片。积极参与联合国外空委及空间与重大灾害国际宪章、机构间空间碎片协调委员会等国际组织活动，发布《中国航天助力联合国2030年可持续发展目标的声明》，向全球开放共享高分卫星16米数据，为应对全球气候变化和重大自然灾害等人类共同挑战作出重要贡献。</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以航天梦助力强国梦复兴梦。</w:t>
      </w:r>
      <w:r>
        <w:rPr>
          <w:rFonts w:hint="eastAsia" w:ascii="宋体" w:hAnsi="宋体" w:eastAsia="宋体" w:cs="宋体"/>
          <w:sz w:val="21"/>
          <w:szCs w:val="21"/>
        </w:rPr>
        <w:t>多年来，中国航天事业在不断发展壮大中积累了弥足珍贵的经验财富。党中央的坚强领导和新型举国体制政治优势是根本保障，自力更生、自主创新是血脉基因，系统管理、狠抓质量是制胜法宝，尊重科学、尊重人才是不竭源泉。一代代航天人经过不懈奋斗使得我国航天事业取得万众瞩目的巨大成就。航天精神相伴航天实践而生，助推航天实践而行。事业愈艰巨精神愈深厚，几代航天人投身中国航天伟大事业中，创造了以“两弹一星”精神、航天精神等为代表的巨大的精神财富。航天精神凝聚了几代航天人的心血与智慧，大力弘扬航天精神，不断赋予航天精神新的时代内涵，让航天精神成为激励人们不断创造辉煌的精神动力，把航天精神作为建设航天强国、实现航天梦的崇高精神力量，并为实现中华民族伟大复兴的中国梦而努力奋斗。</w:t>
      </w:r>
    </w:p>
    <w:p>
      <w:pPr>
        <w:pStyle w:val="7"/>
        <w:widowControl/>
        <w:spacing w:beforeAutospacing="0" w:afterAutospacing="0" w:line="288" w:lineRule="auto"/>
        <w:jc w:val="right"/>
        <w:rPr>
          <w:rFonts w:ascii="宋体" w:hAnsi="宋体" w:eastAsia="宋体" w:cs="宋体"/>
          <w:sz w:val="21"/>
          <w:szCs w:val="21"/>
        </w:rPr>
      </w:pPr>
      <w:r>
        <w:rPr>
          <w:rFonts w:hint="eastAsia" w:ascii="宋体" w:hAnsi="宋体" w:eastAsia="宋体" w:cs="宋体"/>
          <w:sz w:val="21"/>
          <w:szCs w:val="21"/>
        </w:rPr>
        <w:t>来源：宣讲家网</w:t>
      </w:r>
    </w:p>
    <w:p>
      <w:pPr>
        <w:pStyle w:val="7"/>
        <w:widowControl/>
        <w:spacing w:beforeAutospacing="0" w:afterAutospacing="0" w:line="288" w:lineRule="auto"/>
        <w:ind w:firstLine="420" w:firstLineChars="200"/>
        <w:jc w:val="right"/>
        <w:rPr>
          <w:rFonts w:ascii="宋体" w:hAnsi="宋体" w:eastAsia="宋体" w:cs="宋体"/>
          <w:color w:val="222222"/>
          <w:sz w:val="21"/>
          <w:szCs w:val="21"/>
        </w:rPr>
      </w:pPr>
      <w:r>
        <w:rPr>
          <w:rFonts w:hint="eastAsia" w:ascii="宋体" w:hAnsi="宋体" w:eastAsia="宋体" w:cs="宋体"/>
          <w:color w:val="222222"/>
          <w:sz w:val="21"/>
          <w:szCs w:val="21"/>
        </w:rPr>
        <w:t>编辑：展鸿教育</w:t>
      </w: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8月14日</w:t>
      </w:r>
    </w:p>
    <w:p>
      <w:pPr>
        <w:pStyle w:val="7"/>
        <w:widowControl/>
        <w:spacing w:beforeAutospacing="0" w:afterAutospacing="0" w:line="288" w:lineRule="auto"/>
        <w:ind w:firstLine="562" w:firstLineChars="200"/>
        <w:jc w:val="center"/>
        <w:rPr>
          <w:b/>
          <w:sz w:val="28"/>
        </w:rPr>
      </w:pPr>
      <w:r>
        <w:rPr>
          <w:rFonts w:hint="eastAsia"/>
          <w:b/>
          <w:sz w:val="28"/>
        </w:rPr>
        <w:t>申论阅读：激发短视频创作的正能量</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在工作中要起带头作用，党给的工作一定要完成”“我执着于这样的选择和追求，坚定崇高的理想和信念，从大处着眼，从小处着手”……近段时间，一组讲述优秀共产党员入党志愿书背后故事的短视频，收获广泛好评。在中国共产党成立100周年之际，不少平台制作推出了短视频节目，讲述党史故事、展现百年历程、反映世纪巨变，在激发社会正向价值上，发挥了积极作用。</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当前，我国网络视听行业在健康轨道上加速发展。数据显示，截至2020年底，网络视频用户规模达9.27亿，其中短视频用户达8.73亿。用户规模大、技术更迭快，成为这一领域创新发展的重要特点。越是面对黏性高的用户群，越是借助人工智能、5G等新技术新业态，</w:t>
      </w:r>
      <w:r>
        <w:rPr>
          <w:rFonts w:hint="eastAsia" w:ascii="宋体" w:hAnsi="宋体" w:eastAsia="宋体" w:cs="宋体"/>
          <w:b/>
          <w:bCs/>
          <w:sz w:val="21"/>
          <w:szCs w:val="21"/>
        </w:rPr>
        <w:t>网络视听特别是短视频就越应该保持正确方向，实现高质量创新性发展，以质量优势、创新能力放大主旋律、增强正能量。</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传播当代中国价值理念、体现中华优秀文化精髓、反映中国人民审美追求、传播新时代中国奋进力量，应该成为短视频内容的重要着力点。</w:t>
      </w:r>
      <w:r>
        <w:rPr>
          <w:rFonts w:hint="eastAsia" w:ascii="宋体" w:hAnsi="宋体" w:eastAsia="宋体" w:cs="宋体"/>
          <w:sz w:val="21"/>
          <w:szCs w:val="21"/>
        </w:rPr>
        <w:t>从这个意义上说，启迪心智、温润心灵、引领风尚，是短视频创作的出发点和落脚点。只有把社会效益放在首位，做到讲格调讲品位、讲责任讲格局，才能弘扬正气新风，在网络空间传播正能量。</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加强短视频内容建设、丰富精品创作，是短视频健康持续发展的重要课题。</w:t>
      </w:r>
      <w:r>
        <w:rPr>
          <w:rFonts w:hint="eastAsia" w:ascii="宋体" w:hAnsi="宋体" w:eastAsia="宋体" w:cs="宋体"/>
          <w:sz w:val="21"/>
          <w:szCs w:val="21"/>
        </w:rPr>
        <w:t>人们观看短视频，不仅需要轻松有趣的叙事，而且需要独具匠心的视角。这同人民群众日益增长的美好生活需要息息相关，也关乎如何过好数字生活。无论是推动党的创新理论“飞入寻常百姓家”，还是讲好新时代中国故事，都需要在视听特色、表达方式、技术运用、细节挖掘、认知拓宽等方面下功夫，于润物细无声中开展理想信念教育、凝聚精神文化力量。</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当前，短视频创作紧贴时代潮流，不断打开新空间。前不久发布的《数字中国发展报告（2020年）》指出，“数字经济拓展乡村发展新空间，电子商务进农村综合示范项目新增支持235个县，县长、乡镇长纷纷带货，让直播成为‘新农活’”。这充分说明，把短视频、直播等纳入乡村振兴事业、融入经济社会发展，能够打开无限可能。同时，要建立健全鼓励创新的机制，为行业发展创造有利的政策环境；也要通过科学立法、严格执法，有效肃清不良风气，引导平台依法合规经营，营造良好数字生态环境。从内容创意到质量审核，从平台管理到用户引导，努力实现全流程的优化管理。唯有凝聚合力、全方位参与，才能形成富有活力、创新生动的健康业态。</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网络空间天朗气清、生态良好，符合人民利益。把好导向关、内容关、质量关、传播关，品质为先、守正创新，才能构筑美好数字生活新图景、健康网络生态新局面。</w:t>
      </w: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来源：人民网</w:t>
      </w:r>
    </w:p>
    <w:p>
      <w:pPr>
        <w:pStyle w:val="7"/>
        <w:widowControl/>
        <w:spacing w:beforeAutospacing="0" w:afterAutospacing="0" w:line="288" w:lineRule="auto"/>
        <w:ind w:firstLine="420" w:firstLineChars="200"/>
        <w:jc w:val="right"/>
        <w:rPr>
          <w:rFonts w:ascii="宋体" w:hAnsi="宋体" w:eastAsia="宋体" w:cs="宋体"/>
          <w:color w:val="222222"/>
          <w:sz w:val="21"/>
          <w:szCs w:val="21"/>
        </w:rPr>
      </w:pPr>
      <w:r>
        <w:rPr>
          <w:rFonts w:hint="eastAsia" w:ascii="宋体" w:hAnsi="宋体" w:eastAsia="宋体" w:cs="宋体"/>
          <w:color w:val="222222"/>
          <w:sz w:val="21"/>
          <w:szCs w:val="21"/>
        </w:rPr>
        <w:t>编辑：展鸿教育</w:t>
      </w:r>
    </w:p>
    <w:p>
      <w:pPr>
        <w:pStyle w:val="7"/>
        <w:widowControl/>
        <w:spacing w:beforeAutospacing="0" w:afterAutospacing="0" w:line="288" w:lineRule="auto"/>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8月13日</w:t>
      </w:r>
    </w:p>
    <w:p>
      <w:pPr>
        <w:pStyle w:val="7"/>
        <w:widowControl/>
        <w:spacing w:beforeAutospacing="0" w:afterAutospacing="0" w:line="288" w:lineRule="auto"/>
        <w:ind w:firstLine="562" w:firstLineChars="200"/>
        <w:jc w:val="center"/>
        <w:rPr>
          <w:b/>
          <w:sz w:val="28"/>
        </w:rPr>
      </w:pPr>
      <w:r>
        <w:rPr>
          <w:rFonts w:hint="eastAsia"/>
          <w:b/>
          <w:sz w:val="28"/>
        </w:rPr>
        <w:t>申论阅读：给网络产品安全“打补丁”正当其时</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日前，工信部、国家网信办和公安部联合制定《网络产品安全漏洞管理规定》（以下简称《规定》）。这一《规定》旨在规范网络产品安全漏洞发现、报告、修补和发布等行为，明确网络产品提供者、网络运营者、以及从事漏洞发现、收集、发布等活动的组织或个人等各类主体的责任和义务。</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规定》的出台必将推动网络产品安全漏洞管理工作的制度化、规范化、法治化，促进相关主体提高漏洞管理水平，引导建设规范有序、充满活力的漏洞收集和发布渠道，防范网络安全重大风险，保障国家网络安全。</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规定》是根据《中华人民共和国网络安全法》有关要求而制定的，有法可依。2017年6月1日，我国网络安全法开始施行。这是一部统领国家网络安全工作的基础法律，对保障网络安全，维护网络空间主权和国家安全、社会公共利益，保护公民、法人和其他组织的合法权益，促进经济社会信息化健康发展，影响深远。</w:t>
      </w:r>
      <w:r>
        <w:rPr>
          <w:rFonts w:hint="eastAsia" w:ascii="宋体" w:hAnsi="宋体" w:eastAsia="宋体" w:cs="宋体"/>
          <w:b/>
          <w:bCs/>
          <w:sz w:val="21"/>
          <w:szCs w:val="21"/>
        </w:rPr>
        <w:t>据此，网络安全各项工作加速进入法治化轨道，一系列相关配套法律法规、政策文件陆续出台，网络空间法治化进程也进入了新时代。</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问题是发展的先导。</w:t>
      </w:r>
      <w:r>
        <w:rPr>
          <w:rFonts w:hint="eastAsia" w:ascii="宋体" w:hAnsi="宋体" w:eastAsia="宋体" w:cs="宋体"/>
          <w:sz w:val="21"/>
          <w:szCs w:val="21"/>
        </w:rPr>
        <w:t>在互联网时代，特别是人工智能、5G等技术快速发展并实现多种场景应用，越来越多的信息产品在提供便捷多元服务的同时，因为技术等因素存在安全漏洞，有的涉及信息抓取与捕获，有的涉及信息外泄与贩卖。借助这些安全漏洞，小则会推送广告、设置陷阱，影响用户体验，威胁群众利益；大则可能让公共数据与信息流出境外，威胁国家安全。因此，从任何角度与立场确保网络安全无虞，都十分必要，且需要与时俱进。</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一分部署，九分落实。</w:t>
      </w:r>
      <w:r>
        <w:rPr>
          <w:rFonts w:hint="eastAsia" w:ascii="宋体" w:hAnsi="宋体" w:eastAsia="宋体" w:cs="宋体"/>
          <w:sz w:val="21"/>
          <w:szCs w:val="21"/>
        </w:rPr>
        <w:t>《规定》出台后，让相关要求切实落地见效，仍需要做大量工作。比如加强政策宣贯，做好对相关企业机构的政策咨询和工作指导，引导漏洞收集平台依法依规开展漏洞收集和发布；又如完善相关工作机制，建立健全漏洞评估、发布、通报等重要环节的工作机制，明确漏洞收集平台备案方式和报送内容；再如加强网络安全威胁和漏洞信息共享平台建设，做好与其他漏洞平台、漏洞库的信息共享，提升平台技术支撑能力。真正做到宣介到位、解读透彻，才能最大限度凝聚起贯彻落实的共识；真正做到产品覆盖、责任明确、机制共建，才能最大程度汇聚捍卫网络安全的合力。</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此次《规定》的出台，进一步彰显了我国依法维护网络安全的决心与行动。既坚持网络安全与信息化并重发展，推进网络基础设施建设和互联互通，鼓励网络技术创新和应用；又坚决维护网络空间安全和秩序，多措并举监测、管理、防御、处置来自各方的网络安全风险和威胁，依法惩治网络违法犯罪活动，这些无不需要久久为功、善作善成，科学发展、依法管理。唯有更加坚实地迈好网络治理的法治化步伐，以制度建设提高国家网络安全保障能力，掌握网络空间治理和规则制定方面的主动权，才能切实维护国家网络空间主权、安全和发展利益，确保网络空间天朗气清。</w:t>
      </w: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来源：人民网</w:t>
      </w:r>
    </w:p>
    <w:p>
      <w:pPr>
        <w:pStyle w:val="7"/>
        <w:widowControl/>
        <w:spacing w:beforeAutospacing="0" w:afterAutospacing="0" w:line="288" w:lineRule="auto"/>
        <w:ind w:firstLine="420" w:firstLineChars="200"/>
        <w:jc w:val="right"/>
        <w:rPr>
          <w:rFonts w:ascii="宋体" w:hAnsi="宋体" w:eastAsia="宋体" w:cs="宋体"/>
          <w:color w:val="222222"/>
          <w:sz w:val="21"/>
          <w:szCs w:val="21"/>
        </w:rPr>
      </w:pPr>
      <w:r>
        <w:rPr>
          <w:rFonts w:hint="eastAsia" w:ascii="宋体" w:hAnsi="宋体" w:eastAsia="宋体" w:cs="宋体"/>
          <w:color w:val="222222"/>
          <w:sz w:val="21"/>
          <w:szCs w:val="21"/>
        </w:rPr>
        <w:t>编辑：展鸿教育</w:t>
      </w: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8月12日</w:t>
      </w:r>
    </w:p>
    <w:p>
      <w:pPr>
        <w:pStyle w:val="7"/>
        <w:widowControl/>
        <w:spacing w:beforeAutospacing="0" w:afterAutospacing="0" w:line="288" w:lineRule="auto"/>
        <w:ind w:firstLine="562" w:firstLineChars="200"/>
        <w:jc w:val="center"/>
        <w:rPr>
          <w:b/>
          <w:sz w:val="28"/>
        </w:rPr>
      </w:pPr>
      <w:r>
        <w:rPr>
          <w:rFonts w:hint="eastAsia"/>
          <w:b/>
          <w:sz w:val="28"/>
        </w:rPr>
        <w:t>申论阅读：永远保持同人民群众的血肉联系</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考生在平时可以多阅读一些权威媒体的报道或时评，一是对阅读素材的积累，二是对写作手法的借鉴。展鸿教育挑选了一些文章，供各位考生阅读参考：</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“任何想把中国共产党同中国人民分割开来、对立起来的企图，都是绝不会得逞的！9500多万中国共产党人不答应！14亿多中国人民也不答应！”在庆祝中国共产党成立100周年大会上，习近平总书记豪迈宣示。</w:t>
      </w:r>
      <w:r>
        <w:rPr>
          <w:rFonts w:hint="eastAsia" w:ascii="宋体" w:hAnsi="宋体" w:eastAsia="宋体" w:cs="宋体"/>
          <w:b/>
          <w:bCs/>
          <w:sz w:val="21"/>
          <w:szCs w:val="21"/>
        </w:rPr>
        <w:t>党心民心的交融激荡，汇聚成前行路上坚不可摧的磅礴力量，也映照出百年来铸就的牢不可破的党群关系。</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百年征程波澜壮阔，党和人民群众早已如血和肉、鱼和水、种子和土地一般不可分割。人民群众为什么愿意跟着中国共产党走？基本道理只有一个，就是我们党切切实实地解决了中国在发展中遇到的问题，实实在在地为中国人民谋幸福、为中华民族谋复兴。</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我们党来自于人民，为人民而生，因人民而兴，党的根基在人民、血脉在人民、力量在人民。从开创群众路线，到数次开展整风运动，再到开展党的群众路线教育实践活动、“不忘初心、牢记使命”主题教育、党史学习教育等等，我们党历来重视同人民群众的关系，把保持党同人民群众的血肉联系作为加强和改进党的作风建设的核心问题，把克服脱离群众危险作为推进党的自我革命的重要落脚点。</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密切联系群众是我们党的最大政治优势。一百年来，我们党之所以能带领全国人民取得社会革命的一个又一个胜利，根本一点就在于党不断进行自我革命，始终保持同人民群众的血肉联系，始终得到人民群众的衷心拥护。也要看到，堡垒最容易从内部攻破。正如习近平总书记所指出的“从某种意义上说，自从党成立以来，我们党面临的最大风险是内部变质、变色、变味，丧失马克思主义政党的政治本色，背离党的宗旨而失去最广大人民支持和拥护”，这提醒着我们，严重脱离人民群众，得不到人民群众支持，必然会动摇执政基础。</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所谓“初心易得，始终难守”，一个人也好，一个政党也好，最难得的就是历经沧桑而初心不改、饱经风霜而本色依旧。经过长期革命、建设和改革，我们党已经从领导人民为夺取全国政权而奋斗的党，成为领导人民掌握全国政权并长期执政的党。对一个创造了伟大人间奇迹的百年大党来说，在长期执政中，如何避免滋长骄傲自满情绪？如何抑制官僚主义、形式主义、享乐主义和奢靡之风？如何保持攻坚克难的势头？前进路上挑战重重，一以贯之推进党的建设新的伟大工程，保持党同人民群众的血肉联系是一个永恒课题。</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70多年前，党中央从西柏坡动身前往北京时，毛泽东同志说：“今天是进京赶考的日子。”70多年过去了，我们党在这场历史性考试中取得了优异成绩。踏上实现第二个百年奋斗目标新的赶考之路，持续推进党的伟大自我革命，不断增强党的自我净化、自我完善、自我革新、自我提高能力，确保党不变质、不变色、不变味，始终同人民想在一起、干在一起，一定能把新时代中国特色社会主义伟大事业不断推向前进！</w:t>
      </w: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来源：人民网</w:t>
      </w:r>
    </w:p>
    <w:p>
      <w:pPr>
        <w:pStyle w:val="7"/>
        <w:widowControl/>
        <w:spacing w:beforeAutospacing="0" w:afterAutospacing="0" w:line="288" w:lineRule="auto"/>
        <w:ind w:firstLine="420" w:firstLineChars="200"/>
        <w:jc w:val="right"/>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8月11日</w:t>
      </w:r>
    </w:p>
    <w:p>
      <w:pPr>
        <w:pStyle w:val="7"/>
        <w:widowControl/>
        <w:spacing w:beforeAutospacing="0" w:afterAutospacing="0" w:line="288" w:lineRule="auto"/>
        <w:ind w:firstLine="2811" w:firstLineChars="1000"/>
        <w:jc w:val="both"/>
        <w:rPr>
          <w:b/>
          <w:sz w:val="28"/>
        </w:rPr>
      </w:pPr>
      <w:r>
        <w:rPr>
          <w:rFonts w:hint="eastAsia"/>
          <w:b/>
          <w:sz w:val="28"/>
        </w:rPr>
        <w:t>申论阅读：凝聚文化自信的力量</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文化自信，是更基础、更广泛、更深厚的自信。中国有坚定的道路自信、理论自信、制度自信，其本质是建立在五千多年文明传承基础上形成的文化自信。习近平总书记在庆祝中国共产党成立100周年大会上的讲话表现了大国大党的自信与担当，吹响了振奋人心的前进号角。在实现中华民族伟大复兴的征程上，五千多年文明发展中所留下的丰厚文化遗产，是我们自信自强、昂首阔步的底气，也为我们砥砺前行提供了源源不断的精神力量。</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习近平总书记在主持中央政治局第二十三次集体学习时指出，考古工作是一项重要文化事业，也是一项具有重大社会政治意义的工作。考古发现展示了中华文明起源和发展的历史脉络，展示了中华文明的灿烂成就，展示了中华文明对世界文明的重大贡献。</w:t>
      </w:r>
      <w:r>
        <w:rPr>
          <w:rFonts w:hint="eastAsia" w:ascii="宋体" w:hAnsi="宋体" w:eastAsia="宋体" w:cs="宋体"/>
          <w:b/>
          <w:bCs/>
          <w:sz w:val="21"/>
          <w:szCs w:val="21"/>
        </w:rPr>
        <w:t>未来的考古和历史研究要继续探索未知、揭示本源，实施好“中华文明起源与早期发展综合研究”“考古中国”等重大项目，做好考古成果的挖掘、整理、阐释工作，更好发挥以史育人作用，努力建设中国特色、中国风格、中国气派的考古学，为弘扬中华优秀传统文化、增强文化自信提供坚强支撑。</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考古研究，是追问本源、探索历史的途径，也是不断发现文化遗产的过程。</w:t>
      </w:r>
      <w:r>
        <w:rPr>
          <w:rFonts w:hint="eastAsia" w:ascii="宋体" w:hAnsi="宋体" w:eastAsia="宋体" w:cs="宋体"/>
          <w:sz w:val="21"/>
          <w:szCs w:val="21"/>
        </w:rPr>
        <w:t>“我们是谁，我们从哪里来，我们走过怎样的路？”面对浩瀚历史，人们不禁发出这样的追问。良渚古城遗址及大型水利系统的发现，向世界证明中华五千年文明所言非虚。二里头遗址的不断发掘，让那些关于华夏民族的古老传说从历史走进现实，让中国最早的王朝都城逐渐展现昔日的辉煌。从神木石峁遗址的横空出世，到三星堆遗址的新发现，考古发掘不断带给我们惊喜，不断为群星璀璨的中华文明版图增色添彩。</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文物保护，是对祖先创造的文明成果的珍重，也是对子孙后代应尽的责任和义务。</w:t>
      </w:r>
      <w:r>
        <w:rPr>
          <w:rFonts w:hint="eastAsia" w:ascii="宋体" w:hAnsi="宋体" w:eastAsia="宋体" w:cs="宋体"/>
          <w:sz w:val="21"/>
          <w:szCs w:val="21"/>
        </w:rPr>
        <w:t>历史文化遗产不仅生动述说着过去，也深刻影响着当下和未来；不仅属于我们，也属于子孙后代。保护好、传承好历史文化遗产是对历史负责、对人民负责。“十三五”期间，我国文物保护力度持续加大，2000多项重点文物保护工程有效实施；第一次全国可移动文物普查登记完成，革命文物资源家底基本摸清；打击文物犯罪专项行动成果显著，建立文物违法案件督察约谈机制，文物安全形势稳中向好……</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在经济社会高速发展的快车道上，文化遗产保护应一路同行。</w:t>
      </w:r>
      <w:r>
        <w:rPr>
          <w:rFonts w:hint="eastAsia" w:ascii="宋体" w:hAnsi="宋体" w:eastAsia="宋体" w:cs="宋体"/>
          <w:sz w:val="21"/>
          <w:szCs w:val="21"/>
        </w:rPr>
        <w:t>全社会都要增强对历史文化遗产的敬畏之心和保护意识，各级政府要树立“保护文物也是政绩”的科学理念，统筹好文物保护与经济社会发展，积极运用现代科技和先进手段，保护好不可再生、不可替代的文化遗产，为我们的子孙后代留下宝贵财富。</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传承发展，是让文化遗产焕发时代活力的关键手段，也是催生新的优秀文化成果的动力之源。</w:t>
      </w:r>
      <w:r>
        <w:rPr>
          <w:rFonts w:hint="eastAsia" w:ascii="宋体" w:hAnsi="宋体" w:eastAsia="宋体" w:cs="宋体"/>
          <w:sz w:val="21"/>
          <w:szCs w:val="21"/>
        </w:rPr>
        <w:t>近年来，“博物馆热”不断升温，精彩的展览、社教活动吸引越来越多人走近历史、亲近文物；《国家宝藏》《如果国宝会说话》等电视节目让文物故事深入人心，《唐宫夜宴》《洛神水赋》等创新表演让年轻人惊叹传统文化之美；故宫、莫高窟等文化遗产地成为网红，文创产品引领“国潮”消费新时尚；考古直播火热出圈，全景数字展厅让观众足不出户就能饱览文物瑰宝……文化遗产的创新传播，点亮了人们的文化生活，在广大民众尤其是青少年心中播下了文化自信的种子。</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四五”规划和2035年远景目标纲要提出：“深入实施中华优秀传统文化传承发展工程，强化重要文化和自然遗产、非物质文化遗产系统性保护，推动中华优秀传统文化创造性转化、创新性发展。”这就要求我们进一步创新传播方式，增强科技赋能，激活创作灵感，让收藏在博物馆里的文物、陈列在广阔大地上的遗产、书写在古籍里的文字都活起来，持续推动文化遗产融入大众生活、体现当代价值，将中华优秀传统文化转化为推进经济社会发展的新动能，为实现中华民族伟大复兴凝聚磅礴力量。</w:t>
      </w: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来源：人民网</w:t>
      </w:r>
    </w:p>
    <w:p/>
    <w:p>
      <w:pPr>
        <w:pStyle w:val="7"/>
        <w:widowControl/>
        <w:spacing w:beforeAutospacing="0" w:afterAutospacing="0" w:line="288" w:lineRule="auto"/>
        <w:ind w:firstLine="420" w:firstLineChars="200"/>
        <w:jc w:val="both"/>
        <w:rPr>
          <w:rFonts w:ascii="宋体" w:hAnsi="宋体" w:eastAsia="宋体" w:cs="宋体"/>
          <w:sz w:val="21"/>
          <w:szCs w:val="21"/>
        </w:rPr>
      </w:pPr>
    </w:p>
    <w:p>
      <w:pPr>
        <w:pStyle w:val="7"/>
        <w:widowControl/>
        <w:spacing w:beforeAutospacing="0" w:afterAutospacing="0" w:line="288" w:lineRule="auto"/>
        <w:jc w:val="both"/>
        <w:rPr>
          <w:rFonts w:ascii="宋体" w:hAnsi="宋体" w:eastAsia="宋体" w:cs="宋体"/>
          <w:sz w:val="21"/>
          <w:szCs w:val="21"/>
        </w:rPr>
      </w:pP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8月10日</w:t>
      </w:r>
    </w:p>
    <w:p>
      <w:pPr>
        <w:pStyle w:val="7"/>
        <w:widowControl/>
        <w:spacing w:beforeAutospacing="0" w:afterAutospacing="0" w:line="288" w:lineRule="auto"/>
        <w:ind w:firstLine="643" w:firstLineChars="200"/>
        <w:jc w:val="both"/>
        <w:rPr>
          <w:b/>
        </w:rPr>
      </w:pPr>
      <w:r>
        <w:rPr>
          <w:rFonts w:hint="eastAsia"/>
          <w:b/>
          <w:sz w:val="32"/>
        </w:rPr>
        <w:t>申论阅读：世界遗产大会——守护共同记忆，传承人类文明</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福临神州，共襄盛会。</w:t>
      </w:r>
      <w:r>
        <w:rPr>
          <w:rFonts w:ascii="宋体" w:hAnsi="宋体" w:eastAsia="宋体" w:cs="宋体"/>
          <w:sz w:val="21"/>
          <w:szCs w:val="21"/>
        </w:rPr>
        <w:t>7月16日</w:t>
      </w:r>
      <w:r>
        <w:rPr>
          <w:rFonts w:hint="eastAsia" w:ascii="宋体" w:hAnsi="宋体" w:eastAsia="宋体" w:cs="宋体"/>
          <w:sz w:val="21"/>
          <w:szCs w:val="21"/>
        </w:rPr>
        <w:t>第44届世界遗产大会在福建福州拉开帷幕。这是中国第二次承办世界遗产大会，也是中国在文化和自然遗产保护领域承办的最高规格的国际会议。</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镌刻文明的印记，“人文世遗”连接历史与现实。</w:t>
      </w:r>
      <w:r>
        <w:rPr>
          <w:rFonts w:hint="eastAsia" w:ascii="宋体" w:hAnsi="宋体" w:eastAsia="宋体" w:cs="宋体"/>
          <w:sz w:val="21"/>
          <w:szCs w:val="21"/>
        </w:rPr>
        <w:t>幅员辽阔的地理、源远流长的历史，共同造就了中国丰富多彩的文化和自然遗产，这是5000年中华文化的瑰宝，也是人类共同的珍贵记忆。习近平总书记说，“我们对时间的理解，是以百年、千年为计。”目前，中国55项世界遗产，与意大利并列第一，14项世界自然遗产、4项世界自然与文化双遗产，总数均位居世界第一……一个个第一承载着历史的厚重，这是文化自信的来源，也是生生不息的动力。在首都北京，一场“盛大庄严、气势恢宏，礼序乾坤、乐和天地”的建党100周年庆祝活动办出了中国风格、中国气派、中国风采。在福建福州，一场“简约、安全、精彩”的世界遗产大会蓄势而来、厚积薄发。跨越千里，一望千年，共同的人文积淀让历史与现实完美融合、相得益彰。</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架起沟通的桥梁，“数字世遗”链接中国与世界。</w:t>
      </w:r>
      <w:r>
        <w:rPr>
          <w:rFonts w:hint="eastAsia" w:ascii="宋体" w:hAnsi="宋体" w:eastAsia="宋体" w:cs="宋体"/>
          <w:sz w:val="21"/>
          <w:szCs w:val="21"/>
        </w:rPr>
        <w:t>疫情无情，网络无边，“数字”让“天堑变通途”。在后疫情时代，线上会议成为理性而可靠的沟通方式。受疫情影响，从2020年累积到2021年，45项《世界遗产名录》待审项目、258项世界遗产保护状况报告，两个年度的世界遗产项目、双倍的工作量渴望“数字”的“加持”和“解放”。联合国教科文组织将首次以在线形式审议世界遗产议题，并将通过网络向全球直播，一系列在线审议世界遗产项目的操作规范，将成为线上线下结合开展工作的重要参照。网络拉近距离，文化跨越语言。配备两套由不同运营商独立运行的网络线路，搭建官网直播平台，展播闽剧、梨园戏、莆仙戏、高甲戏、歌仔戏等福建五大剧种，全面展现福建、福州文化和自然遗产保护方面的成效，让世界更加了解中国，让中国更好走向世界。</w:t>
      </w:r>
    </w:p>
    <w:p>
      <w:pPr>
        <w:pStyle w:val="7"/>
        <w:widowControl/>
        <w:spacing w:beforeAutospacing="0" w:afterAutospacing="0" w:line="288" w:lineRule="auto"/>
        <w:ind w:firstLine="422" w:firstLineChars="200"/>
        <w:jc w:val="both"/>
        <w:rPr>
          <w:rFonts w:ascii="宋体" w:hAnsi="宋体" w:eastAsia="宋体" w:cs="宋体"/>
          <w:sz w:val="21"/>
          <w:szCs w:val="21"/>
        </w:rPr>
      </w:pPr>
      <w:r>
        <w:rPr>
          <w:rFonts w:hint="eastAsia" w:ascii="宋体" w:hAnsi="宋体" w:eastAsia="宋体" w:cs="宋体"/>
          <w:b/>
          <w:bCs/>
          <w:sz w:val="21"/>
          <w:szCs w:val="21"/>
        </w:rPr>
        <w:t>焕发蓬勃的生机，“绿色世遗”联通当下与未来。</w:t>
      </w:r>
      <w:r>
        <w:rPr>
          <w:rFonts w:hint="eastAsia" w:ascii="宋体" w:hAnsi="宋体" w:eastAsia="宋体" w:cs="宋体"/>
          <w:sz w:val="21"/>
          <w:szCs w:val="21"/>
        </w:rPr>
        <w:t>百闻不如一见，典范就在眼前。2200多年建城史、335个古厝保护项目、2157个城市品质提升项目……作为此次大会会址，“福州派江吻海，山水相依，城中有山，山中有城，是一座天然环境优越、十分美丽的国家历史文化名城。”习近平总书记强调，像爱惜自己的生命一样保护好文化遗产。中国政府认真履行《保护世界文化和自然遗产公约》，中国遗产保护事业取得了长足发展，为世界遗产保护事业贡献了中国智慧、中国方案、中国力量。福州三坊七巷、闽南红砖建筑、海上丝绸之路、闽浙木拱廊桥、万里茶道和海坛风景名胜区等列入了中国世界遗产预备名单中，预计《世界遗产名录》等各项清单将会有重要的更新。“绿色世遗”值得期待，世界遗产的未来更加美好。</w:t>
      </w:r>
    </w:p>
    <w:p>
      <w:pPr>
        <w:pStyle w:val="7"/>
        <w:widowControl/>
        <w:spacing w:beforeAutospacing="0" w:afterAutospacing="0" w:line="288"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“世遗”独一无二，保护任重道远。让我们饱含对人类文明的敬畏，乘着“世遗大会”的东风，用心用情用力守护好人类共同的记忆，把属于全人类的世界遗产守护好、传承好、利用好！</w:t>
      </w:r>
    </w:p>
    <w:p>
      <w:pPr>
        <w:pStyle w:val="7"/>
        <w:widowControl/>
        <w:spacing w:beforeAutospacing="0" w:afterAutospacing="0" w:line="288"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来源：中国江苏网</w:t>
      </w:r>
    </w:p>
    <w:p>
      <w:pPr>
        <w:spacing w:line="220" w:lineRule="atLeast"/>
      </w:pPr>
      <w:r>
        <w:drawing>
          <wp:inline distT="0" distB="0" distL="114300" distR="114300">
            <wp:extent cx="5975350" cy="3672840"/>
            <wp:effectExtent l="0" t="0" r="635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75350" cy="3672840"/>
                    </a:xfrm>
                    <a:prstGeom prst="rect">
                      <a:avLst/>
                    </a:prstGeom>
                    <a:noFill/>
                    <a:ln>
                      <a:noFill/>
                    </a:ln>
                  </pic:spPr>
                </pic:pic>
              </a:graphicData>
            </a:graphic>
          </wp:inline>
        </w:drawing>
      </w:r>
      <w:bookmarkStart w:id="0" w:name="_GoBack"/>
      <w:bookmarkEnd w:id="0"/>
    </w:p>
    <w:sectPr>
      <w:headerReference r:id="rId5" w:type="default"/>
      <w:footerReference r:id="rId6" w:type="default"/>
      <w:pgSz w:w="11906" w:h="16838"/>
      <w:pgMar w:top="1871" w:right="1247" w:bottom="1247" w:left="124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5121" o:spid="_x0000_s512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5"/>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r>
      <w:pict>
        <v:shape id="PowerPlusWaterMarkObject54810" o:spid="_x0000_s5122" o:spt="136" type="#_x0000_t136" style="position:absolute;left:0pt;height:130.25pt;width:457pt;mso-position-horizontal:center;mso-position-horizontal-relative:margin;mso-position-vertical:center;mso-position-vertical-relative:margin;rotation:-2949120f;z-index:-251656192;mso-width-relative:page;mso-height-relative:page;" fillcolor="#FF0000" filled="t" stroked="f" coordsize="21600,21600">
          <v:path/>
          <v:fill on="t" opacity="13107f" focussize="0,0"/>
          <v:stroke on="f"/>
          <v:imagedata o:title=""/>
          <o:lock v:ext="edit" aspectratio="t"/>
          <v:textpath on="t" fitshape="t" fitpath="t" trim="t" xscale="f" string="展鸿教育" style="font-family:宋体;font-size:36pt;v-text-align:center;"/>
        </v:shape>
      </w:pict>
    </w:r>
    <w:r>
      <w:rPr>
        <w:rFonts w:hint="eastAsia" w:eastAsia="宋体"/>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rPr>
      <w:t xml:space="preserve">                                               </w:t>
    </w:r>
    <w:r>
      <w:rPr>
        <w:rFonts w:hint="eastAsia" w:ascii="宋体" w:hAnsi="宋体" w:eastAsia="宋体" w:cs="宋体"/>
        <w:b/>
        <w:bCs/>
        <w:color w:val="FF0000"/>
        <w:sz w:val="21"/>
        <w:szCs w:val="21"/>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148DC"/>
    <w:rsid w:val="0005781F"/>
    <w:rsid w:val="00096F0C"/>
    <w:rsid w:val="00151204"/>
    <w:rsid w:val="00192E03"/>
    <w:rsid w:val="001F4EC5"/>
    <w:rsid w:val="002330BD"/>
    <w:rsid w:val="0026616D"/>
    <w:rsid w:val="00271398"/>
    <w:rsid w:val="00271413"/>
    <w:rsid w:val="00282DDF"/>
    <w:rsid w:val="00296B31"/>
    <w:rsid w:val="002C15AB"/>
    <w:rsid w:val="002C58B6"/>
    <w:rsid w:val="002D190B"/>
    <w:rsid w:val="002E2731"/>
    <w:rsid w:val="00310974"/>
    <w:rsid w:val="00323B43"/>
    <w:rsid w:val="003807E7"/>
    <w:rsid w:val="003959D6"/>
    <w:rsid w:val="00397CDE"/>
    <w:rsid w:val="003D37D8"/>
    <w:rsid w:val="003E05B8"/>
    <w:rsid w:val="00426133"/>
    <w:rsid w:val="004358AB"/>
    <w:rsid w:val="00484D52"/>
    <w:rsid w:val="004B1142"/>
    <w:rsid w:val="004C2E75"/>
    <w:rsid w:val="00522FD5"/>
    <w:rsid w:val="005260FD"/>
    <w:rsid w:val="005716D1"/>
    <w:rsid w:val="00590E41"/>
    <w:rsid w:val="005D79D4"/>
    <w:rsid w:val="006529FE"/>
    <w:rsid w:val="00654E2B"/>
    <w:rsid w:val="0070265E"/>
    <w:rsid w:val="007A4CF2"/>
    <w:rsid w:val="007D3C6A"/>
    <w:rsid w:val="00842BE2"/>
    <w:rsid w:val="0084765E"/>
    <w:rsid w:val="008925EA"/>
    <w:rsid w:val="008B5F8E"/>
    <w:rsid w:val="008B7726"/>
    <w:rsid w:val="008C2F36"/>
    <w:rsid w:val="009122A5"/>
    <w:rsid w:val="0094592D"/>
    <w:rsid w:val="00995227"/>
    <w:rsid w:val="009A2738"/>
    <w:rsid w:val="009D5293"/>
    <w:rsid w:val="00A422BD"/>
    <w:rsid w:val="00AA5B5D"/>
    <w:rsid w:val="00AC0CE5"/>
    <w:rsid w:val="00AC77C5"/>
    <w:rsid w:val="00AE45A7"/>
    <w:rsid w:val="00B427A5"/>
    <w:rsid w:val="00B50F94"/>
    <w:rsid w:val="00B96387"/>
    <w:rsid w:val="00BE0548"/>
    <w:rsid w:val="00C346FB"/>
    <w:rsid w:val="00C62876"/>
    <w:rsid w:val="00C83FFD"/>
    <w:rsid w:val="00C93E09"/>
    <w:rsid w:val="00CB32A9"/>
    <w:rsid w:val="00D31D50"/>
    <w:rsid w:val="00D86CE5"/>
    <w:rsid w:val="00DF18F3"/>
    <w:rsid w:val="00E03444"/>
    <w:rsid w:val="00E1605D"/>
    <w:rsid w:val="00E50DD1"/>
    <w:rsid w:val="00E740A4"/>
    <w:rsid w:val="00E82BBA"/>
    <w:rsid w:val="00F30CA1"/>
    <w:rsid w:val="00F37188"/>
    <w:rsid w:val="00FB35DA"/>
    <w:rsid w:val="00FF67CE"/>
    <w:rsid w:val="4D3A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0"/>
    <w:pPr>
      <w:keepNext/>
      <w:keepLines/>
      <w:pageBreakBefore/>
      <w:widowControl w:val="0"/>
      <w:adjustRightInd/>
      <w:snapToGrid/>
      <w:spacing w:beforeLines="100" w:afterLines="100" w:line="288" w:lineRule="auto"/>
      <w:jc w:val="center"/>
      <w:outlineLvl w:val="0"/>
    </w:pPr>
    <w:rPr>
      <w:rFonts w:eastAsia="仿宋" w:asciiTheme="minorHAnsi" w:hAnsiTheme="minorHAnsi"/>
      <w:b/>
      <w:kern w:val="44"/>
      <w:sz w:val="32"/>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nhideWhenUsed/>
    <w:uiPriority w:val="99"/>
    <w:pPr>
      <w:spacing w:after="0"/>
    </w:pPr>
    <w:rPr>
      <w:sz w:val="18"/>
      <w:szCs w:val="18"/>
    </w:rPr>
  </w:style>
  <w:style w:type="paragraph" w:styleId="5">
    <w:name w:val="footer"/>
    <w:basedOn w:val="1"/>
    <w:link w:val="11"/>
    <w:qFormat/>
    <w:uiPriority w:val="0"/>
    <w:pPr>
      <w:widowControl w:val="0"/>
      <w:tabs>
        <w:tab w:val="center" w:pos="4153"/>
        <w:tab w:val="right" w:pos="8306"/>
      </w:tabs>
      <w:adjustRightInd/>
      <w:spacing w:after="0"/>
    </w:pPr>
    <w:rPr>
      <w:rFonts w:asciiTheme="minorHAnsi" w:hAnsiTheme="minorHAnsi" w:eastAsiaTheme="minorEastAsia"/>
      <w:kern w:val="2"/>
      <w:sz w:val="18"/>
      <w:szCs w:val="24"/>
    </w:rPr>
  </w:style>
  <w:style w:type="paragraph" w:styleId="6">
    <w:name w:val="header"/>
    <w:basedOn w:val="1"/>
    <w:link w:val="12"/>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both"/>
    </w:pPr>
    <w:rPr>
      <w:rFonts w:asciiTheme="minorHAnsi" w:hAnsiTheme="minorHAnsi" w:eastAsiaTheme="minorEastAsia"/>
      <w:kern w:val="2"/>
      <w:sz w:val="18"/>
      <w:szCs w:val="24"/>
    </w:rPr>
  </w:style>
  <w:style w:type="paragraph" w:styleId="7">
    <w:name w:val="Normal (Web)"/>
    <w:basedOn w:val="1"/>
    <w:qFormat/>
    <w:uiPriority w:val="99"/>
    <w:pPr>
      <w:widowControl w:val="0"/>
      <w:adjustRightInd/>
      <w:snapToGrid/>
      <w:spacing w:beforeAutospacing="1" w:after="0" w:afterAutospacing="1"/>
    </w:pPr>
    <w:rPr>
      <w:rFonts w:cs="Times New Roman" w:asciiTheme="minorHAnsi" w:hAnsiTheme="minorHAnsi" w:eastAsiaTheme="minorEastAsia"/>
      <w:sz w:val="24"/>
      <w:szCs w:val="24"/>
    </w:rPr>
  </w:style>
  <w:style w:type="character" w:customStyle="1" w:styleId="10">
    <w:name w:val="标题 1 Char"/>
    <w:basedOn w:val="9"/>
    <w:link w:val="2"/>
    <w:qFormat/>
    <w:uiPriority w:val="0"/>
    <w:rPr>
      <w:rFonts w:eastAsia="仿宋"/>
      <w:b/>
      <w:kern w:val="44"/>
      <w:sz w:val="32"/>
      <w:szCs w:val="24"/>
    </w:rPr>
  </w:style>
  <w:style w:type="character" w:customStyle="1" w:styleId="11">
    <w:name w:val="页脚 Char"/>
    <w:basedOn w:val="9"/>
    <w:link w:val="5"/>
    <w:uiPriority w:val="0"/>
    <w:rPr>
      <w:rFonts w:eastAsiaTheme="minorEastAsia"/>
      <w:kern w:val="2"/>
      <w:sz w:val="18"/>
      <w:szCs w:val="24"/>
    </w:rPr>
  </w:style>
  <w:style w:type="character" w:customStyle="1" w:styleId="12">
    <w:name w:val="页眉 Char"/>
    <w:basedOn w:val="9"/>
    <w:link w:val="6"/>
    <w:uiPriority w:val="0"/>
    <w:rPr>
      <w:rFonts w:eastAsiaTheme="minorEastAsia"/>
      <w:kern w:val="2"/>
      <w:sz w:val="18"/>
      <w:szCs w:val="24"/>
    </w:rPr>
  </w:style>
  <w:style w:type="character" w:customStyle="1" w:styleId="13">
    <w:name w:val="批注框文本 Char"/>
    <w:basedOn w:val="9"/>
    <w:link w:val="4"/>
    <w:semiHidden/>
    <w:qFormat/>
    <w:uiPriority w:val="99"/>
    <w:rPr>
      <w:rFonts w:ascii="Tahoma" w:hAnsi="Tahoma"/>
      <w:sz w:val="18"/>
      <w:szCs w:val="18"/>
    </w:rPr>
  </w:style>
  <w:style w:type="character" w:customStyle="1" w:styleId="14">
    <w:name w:val="日期 Char"/>
    <w:basedOn w:val="9"/>
    <w:link w:val="3"/>
    <w:semiHidden/>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1792</Words>
  <Characters>10217</Characters>
  <Lines>85</Lines>
  <Paragraphs>23</Paragraphs>
  <TotalTime>31</TotalTime>
  <ScaleCrop>false</ScaleCrop>
  <LinksUpToDate>false</LinksUpToDate>
  <CharactersWithSpaces>11986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周光显</cp:lastModifiedBy>
  <dcterms:modified xsi:type="dcterms:W3CDTF">2021-08-20T16:57:31Z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1000A2551DE142389C1C03944AE05211</vt:lpwstr>
  </property>
</Properties>
</file>