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热点事件：“信号升格”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信部、国家发改委、教育部等十一部门近日联合印发《关于开展“信号升格”专项行动的通知》，提出将实现移动网络（4G和5G）信号显著增强。目标到今年年底，超过8万个重点场所实现移动网络深度覆盖，2.5万公里铁路和35万公里公路、150条地铁线路实现移动网络连续覆盖。移动网络下行均值接入速率不低于200Mbps，上行均值接入速率不低于40Mbps，卡顿、时延等主要业务指标加快改善，移动网络达标速率占比不低于90%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1）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当前，我国4G基站数超过600万个，4G网络已全面覆盖城乡；5G基站数达328.2万个，5G网络覆盖逐步从“市市通”到“县县通”并持续向乡镇、行政村等延伸。信息基础设施量质齐升，移动网络能力持续增强，为支撑经济社会数字化转型提供了坚实支撑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2）当前，我国已建成全球规模最大、技术领先的移动网络。广大用户从过去关注移动网络有没有覆盖，转变为更加关注移动网络质量和业务体验，期待更美好的数字生活；同时，各行各业正经历数字化、网络化、智能化转型关键阶段，对移动网络深度覆盖的需求更加迫切。开展“信号升格”专项行动，旨在践行“人民邮电为人民”初心使命，聚焦重点场景，加快推进移动网络深度覆盖，提升网络质量，优化用户感知，向广大个人用户和行业用户提供高质量移动网络使用体验，支撑网络强国和数字中国建设，助力实现中国式现代化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2.道理论证：</w:t>
      </w:r>
    </w:p>
    <w:p>
      <w:pP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1）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《专项行动》坚持人民至上、聚焦重点场景、注重统筹推进、强化协同联动，充分发挥“有效市场”在资源配置中的决定性作用，更好发挥“有为政府”的管理和服务作用，通过推动“信号升格”、“感知升格”、“保障升格”、“能力升格”，不断满足人民群众日益增长的美好生活需要，支撑重点行业数字化转型需求，促进经济社会高质量发展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2）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发力“信号升格”，重在补短板、强弱项，驱动网络服务向高品质升级。推进中国式现代化，离不开以信息化发展新成效助力高质量发展。应以开展“信号升格”专项行动为契机，推进重点场景网络覆盖、重点业务服务提升、资源要素高效协同、监测评测水平提升。移动网络覆盖、性能全面提升，移动网络卡顿、时延等主要业务指标全面优化，既能促进美好生活与信号同步升格，更能夯实行业数字化转型、社会治理效能提升的数字基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（1）“信号升格”，意味着移动网络迎来新一轮升级以及相应服务品质的进一步提升……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（2）“信号升格”是民生工程，也是发展工程。期待专项行动落实落细，深化移动网络惠民共享，为网络强国、数字中国建设加码，给人民群众美好生活加分……</w:t>
      </w:r>
    </w:p>
    <w:p>
      <w:pPr>
        <w:pStyle w:val="2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（3）</w:t>
      </w:r>
      <w:r>
        <w:rPr>
          <w:rFonts w:hint="eastAsia" w:ascii="楷体" w:hAnsi="楷体" w:eastAsia="楷体" w:cs="楷体"/>
          <w:i w:val="0"/>
          <w:iCs w:val="0"/>
          <w:caps w:val="0"/>
          <w:color w:val="303030"/>
          <w:spacing w:val="0"/>
          <w:sz w:val="21"/>
          <w:szCs w:val="21"/>
        </w:rPr>
        <w:t>移动互联时代，呼唤“信号升格”；更好的日子，需要加“数”前行。行动方案好，尤需落实好。期待相关部门加强协同联动，立说立行、久久为功，发力“信号升格”落地见效，让信号好、体验优、能力强的高品质网络服务，赋能美好生活，助推高质量发展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……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8"/>
        <w:ind w:firstLine="440"/>
        <w:rPr>
          <w:rFonts w:hint="default" w:eastAsia="宋体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近日，工信部、国家发改委、教育部等十一部门近日联合印发《关于开展“信号升格”专项行动的通知》，提出将实现移动网络（4G和5G）信号显著增强。对此，你怎么看？</w:t>
      </w:r>
    </w:p>
    <w:p>
      <w:pPr>
        <w:pStyle w:val="19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政府行为</w:t>
      </w:r>
      <w:r>
        <w:rPr>
          <w:rFonts w:hint="eastAsia"/>
        </w:rPr>
        <w:t>类）——答题结构【点题/破题-</w:t>
      </w:r>
      <w:r>
        <w:rPr>
          <w:rFonts w:hint="default"/>
          <w:lang w:val="en-US"/>
        </w:rPr>
        <w:t>-</w:t>
      </w:r>
      <w:r>
        <w:rPr>
          <w:rFonts w:hint="eastAsia"/>
          <w:lang w:val="en-US" w:eastAsia="zh-CN"/>
        </w:rPr>
        <w:t>意义分析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原因分析-过渡-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9"/>
        <w:ind w:firstLine="422"/>
      </w:pPr>
      <w:r>
        <w:rPr>
          <w:rFonts w:hint="eastAsia"/>
        </w:rPr>
        <w:t>◎解题思路</w:t>
      </w:r>
    </w:p>
    <w:p>
      <w:pPr>
        <w:pStyle w:val="19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“信号升格”是民生工程，也是发展工程……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意义分析：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一是推动“信号升格”有利于满足群众美好生活需要</w:t>
      </w:r>
      <w:r>
        <w:rPr>
          <w:rFonts w:hint="eastAsia" w:ascii="楷体" w:hAnsi="楷体" w:cs="楷体"/>
          <w:lang w:val="en-US" w:eastAsia="zh-CN"/>
        </w:rPr>
        <w:t>。移动宽带网络接入已成为群众衣食住行必不可少的关键要素。开展“信号升格”，将有效提升广大用户移动网络使用体验，更好满足数字时代的生活需要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二是推动“信号升格”有利于助力行业数字化转型。各行业数字化转型离不开移动网络设施的基础支撑。开展“信号升格”，将助力行业提质增效，为行业不断开辟新蓝海、加速数字化转型奠定坚实基础……</w:t>
      </w: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三是推动“信号升格”有利于提升社会治理效能。通过完善城乡移动网络覆盖，提升移动网络质量，提高行政管理和公共服务效率，促进社会治理从经验驱动转为数据驱动，支撑社会治理过程和手段的数字化、智能化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原因分析：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首先是</w:t>
      </w:r>
      <w:r>
        <w:rPr>
          <w:rFonts w:hint="eastAsia" w:ascii="楷体" w:hAnsi="楷体" w:eastAsia="楷体" w:cs="楷体"/>
          <w:lang w:val="en-US"/>
        </w:rPr>
        <w:t>满足公众对美好生活的需求：推动“信号升格”，进一步提升移动网络质量，满足群众对移动网络的使用需求</w:t>
      </w:r>
      <w:r>
        <w:rPr>
          <w:rFonts w:hint="eastAsia" w:ascii="楷体" w:hAnsi="楷体" w:eastAsia="楷体" w:cs="楷体"/>
          <w:lang w:val="en-US" w:eastAsia="zh-CN"/>
        </w:rPr>
        <w:t>是现实所需……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楷体" w:hAnsi="楷体" w:cs="楷体"/>
          <w:lang w:val="en-US" w:eastAsia="zh-CN"/>
        </w:rPr>
        <w:t>其次是夯实网络强国建设的需要：强大的基础设施是网络强国的基础。要想在网络空间中占据一席之地，必须确保网络基础设施的稳定、安全和高效运行</w:t>
      </w:r>
      <w:r>
        <w:rPr>
          <w:rFonts w:hint="eastAsia" w:ascii="楷体" w:hAnsi="楷体" w:eastAsia="楷体" w:cs="楷体"/>
          <w:lang w:val="en-US" w:eastAsia="zh-CN"/>
        </w:rPr>
        <w:t>……</w:t>
      </w:r>
      <w:bookmarkStart w:id="1" w:name="_GoBack"/>
      <w:bookmarkEnd w:id="1"/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四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过渡：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现如今，</w:t>
      </w:r>
      <w:r>
        <w:rPr>
          <w:rFonts w:hint="eastAsia" w:ascii="楷体" w:hAnsi="楷体" w:eastAsia="楷体" w:cs="楷体"/>
          <w:lang w:val="en-US"/>
        </w:rPr>
        <w:t>广大用户从过去关注移动网络有没有覆盖，转变为更加关注移动网络质量和业务体验，期待更美好的数字生活</w:t>
      </w:r>
      <w:r>
        <w:rPr>
          <w:rFonts w:hint="eastAsia" w:ascii="楷体" w:hAnsi="楷体" w:eastAsia="楷体" w:cs="楷体"/>
          <w:lang w:val="en-US" w:eastAsia="zh-CN"/>
        </w:rPr>
        <w:t>，我们也期待着“信号升格”满足人民群众日益增长的美好生活需要……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一是加强组织领导。工业和信息化部联合相关部门，组织相关单位建立健全协同工作机制，统筹推动重点任务落实。各地通信管理局结合实际，联合省级和地市级行业主管部门，组织相关方建立“信号升格”工作会商机制，制定本地区信号升格具体落实方案，形成协同推进合力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二是强化任务落实。各地通信管理局完善工作流程，建立工作台账和需求清单，主动开辟“信号升格”快速通道。各地行业主管部门加强调研摸底，组织相关重点场景运营单位主动提出需求清单，协调加强场地、管道、电力等资源要素保障，合力推进网络建设。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三是组织评测发布。持续推进全国范围移动网络质量评测，开展信号“星级”评定和发布工作。各地通信管理局组织评测工作下沉，形成常态化监测评测能力和工作机制；适时公开发布重点场景移动网络信号覆盖评测结果，树立先进典型和示范标杆，营造良好氛围。……</w:t>
      </w:r>
    </w:p>
    <w:p>
      <w:pPr>
        <w:pStyle w:val="2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四是注重成果运用。综合运用监测评测、实地走访、用户调研等方式，对各地、各企业、各场景开展“信号升格”成效进行评估，遴选一批工作成效突出的地方电信企业、行业单位、互联网应用企业及网优工程师等。国务院国资委、各行业主管部门、基础电信企业集团公司依职责加强对“信号升格”推进落实情况的考核评估。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</w:pPr>
      <w:r>
        <w:rPr>
          <w:rFonts w:hint="eastAsia" w:ascii="楷体" w:hAnsi="楷体" w:eastAsia="楷体" w:cs="楷体"/>
          <w:lang w:val="en-US" w:eastAsia="zh-CN"/>
        </w:rPr>
        <w:t>移动互联时代，呼唤“信号升格”；更好的日子，需要加“数”前行。行动方案好，尤需落实好。期待相关部门加强协同联动，立说立行、久久为功，发力“信号升格”落地见效，让信号好、体验优、能力强的高品质网络服务，赋能美好生活，助推高质量发展……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Tk2YWMwNmYyOGExMzMxMWJjNjJhNjA0NGI1ZmIifQ=="/>
  </w:docVars>
  <w:rsids>
    <w:rsidRoot w:val="00000000"/>
    <w:rsid w:val="00915910"/>
    <w:rsid w:val="009F1215"/>
    <w:rsid w:val="01E92DC0"/>
    <w:rsid w:val="02713142"/>
    <w:rsid w:val="037808A1"/>
    <w:rsid w:val="03782396"/>
    <w:rsid w:val="04676A8B"/>
    <w:rsid w:val="0476023E"/>
    <w:rsid w:val="04963B0C"/>
    <w:rsid w:val="04FC403D"/>
    <w:rsid w:val="07373DAC"/>
    <w:rsid w:val="077D7F4A"/>
    <w:rsid w:val="08141446"/>
    <w:rsid w:val="088A1C90"/>
    <w:rsid w:val="0923288D"/>
    <w:rsid w:val="095A1B0F"/>
    <w:rsid w:val="09D74946"/>
    <w:rsid w:val="0B782CB6"/>
    <w:rsid w:val="0BE81B6C"/>
    <w:rsid w:val="0CEF7946"/>
    <w:rsid w:val="0D157B86"/>
    <w:rsid w:val="0D68481B"/>
    <w:rsid w:val="0FA67D74"/>
    <w:rsid w:val="0FE85150"/>
    <w:rsid w:val="10C65B68"/>
    <w:rsid w:val="11AD0487"/>
    <w:rsid w:val="11E74B6B"/>
    <w:rsid w:val="12041F1C"/>
    <w:rsid w:val="14717A98"/>
    <w:rsid w:val="14BE7B97"/>
    <w:rsid w:val="14D22CF5"/>
    <w:rsid w:val="16E54F9E"/>
    <w:rsid w:val="173A493A"/>
    <w:rsid w:val="184B3C39"/>
    <w:rsid w:val="18F36CB9"/>
    <w:rsid w:val="195921EF"/>
    <w:rsid w:val="1A7F48BE"/>
    <w:rsid w:val="1B8371BB"/>
    <w:rsid w:val="1BF4351A"/>
    <w:rsid w:val="1C0628B7"/>
    <w:rsid w:val="1C4F3028"/>
    <w:rsid w:val="1C597755"/>
    <w:rsid w:val="1E957931"/>
    <w:rsid w:val="1EB00C68"/>
    <w:rsid w:val="1EF27252"/>
    <w:rsid w:val="203023E8"/>
    <w:rsid w:val="20664BB5"/>
    <w:rsid w:val="2080575F"/>
    <w:rsid w:val="20BC55C4"/>
    <w:rsid w:val="228E32C0"/>
    <w:rsid w:val="22B76683"/>
    <w:rsid w:val="2303547D"/>
    <w:rsid w:val="23CC3274"/>
    <w:rsid w:val="253D5128"/>
    <w:rsid w:val="273C5A9F"/>
    <w:rsid w:val="29455AB0"/>
    <w:rsid w:val="29955AD6"/>
    <w:rsid w:val="2C1529D1"/>
    <w:rsid w:val="2CBC5E34"/>
    <w:rsid w:val="2EB0056E"/>
    <w:rsid w:val="2EB2312B"/>
    <w:rsid w:val="2F8270F3"/>
    <w:rsid w:val="2F9F36B8"/>
    <w:rsid w:val="2FB22B6B"/>
    <w:rsid w:val="31943F2B"/>
    <w:rsid w:val="32D845EF"/>
    <w:rsid w:val="345319C9"/>
    <w:rsid w:val="349C6CB3"/>
    <w:rsid w:val="36301342"/>
    <w:rsid w:val="38263BB6"/>
    <w:rsid w:val="38D6254B"/>
    <w:rsid w:val="3967567A"/>
    <w:rsid w:val="3A3C61C9"/>
    <w:rsid w:val="3A5E23D3"/>
    <w:rsid w:val="3AD11AB3"/>
    <w:rsid w:val="3B334EBA"/>
    <w:rsid w:val="3C1E7973"/>
    <w:rsid w:val="3CE0487A"/>
    <w:rsid w:val="3E751487"/>
    <w:rsid w:val="3EEB6AB7"/>
    <w:rsid w:val="3FF74C02"/>
    <w:rsid w:val="415C44C9"/>
    <w:rsid w:val="43DE2113"/>
    <w:rsid w:val="44146C41"/>
    <w:rsid w:val="45D4339E"/>
    <w:rsid w:val="4667038F"/>
    <w:rsid w:val="46E62229"/>
    <w:rsid w:val="47FF4413"/>
    <w:rsid w:val="49845004"/>
    <w:rsid w:val="49B62C1E"/>
    <w:rsid w:val="4AF340FA"/>
    <w:rsid w:val="4B93258A"/>
    <w:rsid w:val="4D4C2BE0"/>
    <w:rsid w:val="4DC7613B"/>
    <w:rsid w:val="4E2408BA"/>
    <w:rsid w:val="4E8146C5"/>
    <w:rsid w:val="4F252466"/>
    <w:rsid w:val="50CA7DE7"/>
    <w:rsid w:val="51736DAF"/>
    <w:rsid w:val="525C5DAC"/>
    <w:rsid w:val="52711BCE"/>
    <w:rsid w:val="535707E6"/>
    <w:rsid w:val="53746E0E"/>
    <w:rsid w:val="53F003EF"/>
    <w:rsid w:val="541D0B0E"/>
    <w:rsid w:val="55A21A11"/>
    <w:rsid w:val="57333685"/>
    <w:rsid w:val="59994DBA"/>
    <w:rsid w:val="59C96464"/>
    <w:rsid w:val="59E22703"/>
    <w:rsid w:val="5A0A69B4"/>
    <w:rsid w:val="5A6D19E9"/>
    <w:rsid w:val="5AB126F6"/>
    <w:rsid w:val="5B5C12F2"/>
    <w:rsid w:val="5BE348DB"/>
    <w:rsid w:val="5BFD617C"/>
    <w:rsid w:val="5CCD5CD0"/>
    <w:rsid w:val="5CD43C21"/>
    <w:rsid w:val="612B1454"/>
    <w:rsid w:val="61BD2427"/>
    <w:rsid w:val="62CB61BD"/>
    <w:rsid w:val="63F97611"/>
    <w:rsid w:val="64D95D84"/>
    <w:rsid w:val="65254B81"/>
    <w:rsid w:val="65FB3CE3"/>
    <w:rsid w:val="665F3603"/>
    <w:rsid w:val="66D6776C"/>
    <w:rsid w:val="6705795A"/>
    <w:rsid w:val="67A3567A"/>
    <w:rsid w:val="68BB3463"/>
    <w:rsid w:val="694858F0"/>
    <w:rsid w:val="6A111488"/>
    <w:rsid w:val="6A285BB8"/>
    <w:rsid w:val="6BE62696"/>
    <w:rsid w:val="6D082649"/>
    <w:rsid w:val="6D5B09CB"/>
    <w:rsid w:val="6E191E3D"/>
    <w:rsid w:val="6F6E095D"/>
    <w:rsid w:val="6FD36103"/>
    <w:rsid w:val="6FDC3AAD"/>
    <w:rsid w:val="6FF944CB"/>
    <w:rsid w:val="70715D07"/>
    <w:rsid w:val="70EE1B56"/>
    <w:rsid w:val="71F71352"/>
    <w:rsid w:val="725134A0"/>
    <w:rsid w:val="72BE454D"/>
    <w:rsid w:val="732301E9"/>
    <w:rsid w:val="73353292"/>
    <w:rsid w:val="74B7598C"/>
    <w:rsid w:val="75342D58"/>
    <w:rsid w:val="75A1245A"/>
    <w:rsid w:val="76DD5312"/>
    <w:rsid w:val="773B1232"/>
    <w:rsid w:val="78AC2F0C"/>
    <w:rsid w:val="7AC1561D"/>
    <w:rsid w:val="7B0C506C"/>
    <w:rsid w:val="7B95754E"/>
    <w:rsid w:val="7BFA64D2"/>
    <w:rsid w:val="7E0A24D6"/>
    <w:rsid w:val="7E1F6BF8"/>
    <w:rsid w:val="7F7B10B3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4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标题 2 字符"/>
    <w:basedOn w:val="11"/>
    <w:link w:val="5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5">
    <w:name w:val="一级段落"/>
    <w:basedOn w:val="1"/>
    <w:next w:val="1"/>
    <w:autoRedefine/>
    <w:qFormat/>
    <w:uiPriority w:val="0"/>
    <w:rPr>
      <w:b/>
      <w:sz w:val="24"/>
    </w:rPr>
  </w:style>
  <w:style w:type="paragraph" w:customStyle="1" w:styleId="16">
    <w:name w:val="二级段落"/>
    <w:basedOn w:val="1"/>
    <w:next w:val="1"/>
    <w:autoRedefine/>
    <w:qFormat/>
    <w:uiPriority w:val="0"/>
    <w:rPr>
      <w:b/>
    </w:rPr>
  </w:style>
  <w:style w:type="paragraph" w:customStyle="1" w:styleId="17">
    <w:name w:val="点评作答"/>
    <w:basedOn w:val="1"/>
    <w:next w:val="1"/>
    <w:autoRedefine/>
    <w:qFormat/>
    <w:uiPriority w:val="0"/>
    <w:rPr>
      <w:rFonts w:eastAsia="楷体"/>
    </w:rPr>
  </w:style>
  <w:style w:type="paragraph" w:customStyle="1" w:styleId="18">
    <w:name w:val="原创题干"/>
    <w:basedOn w:val="1"/>
    <w:next w:val="1"/>
    <w:qFormat/>
    <w:uiPriority w:val="0"/>
    <w:rPr>
      <w:sz w:val="22"/>
    </w:rPr>
  </w:style>
  <w:style w:type="paragraph" w:customStyle="1" w:styleId="19">
    <w:name w:val="三级段落"/>
    <w:basedOn w:val="1"/>
    <w:next w:val="1"/>
    <w:autoRedefine/>
    <w:qFormat/>
    <w:uiPriority w:val="0"/>
    <w:rPr>
      <w:rFonts w:eastAsia="楷体"/>
      <w:b/>
    </w:rPr>
  </w:style>
  <w:style w:type="character" w:customStyle="1" w:styleId="20">
    <w:name w:val="页眉 字符"/>
    <w:basedOn w:val="11"/>
    <w:link w:val="8"/>
    <w:autoRedefine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1"/>
    <w:link w:val="6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13</TotalTime>
  <ScaleCrop>false</ScaleCrop>
  <LinksUpToDate>false</LinksUpToDate>
  <CharactersWithSpaces>1780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2020-06-01T14:18:00Z</dcterms:created>
  <dc:creator>Denny</dc:creator>
  <cp:lastModifiedBy>欢酚拷探堑</cp:lastModifiedBy>
  <cp:lastPrinted>2022-03-30T09:34:00Z</cp:lastPrinted>
  <dcterms:modified xsi:type="dcterms:W3CDTF">2024-01-05T06:14:35Z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9F57746CE12B4FA6915FBDF52123199D_13</vt:lpwstr>
  </property>
</Properties>
</file>