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 w:val="0"/>
        </w:rPr>
      </w:pPr>
      <w:r>
        <w:rPr>
          <w:rFonts w:hint="eastAsia"/>
          <w:b/>
          <w:bCs w:val="0"/>
          <w:lang w:eastAsia="zh-CN"/>
        </w:rPr>
        <w:t>申论范文：</w:t>
      </w:r>
      <w:r>
        <w:rPr>
          <w:rFonts w:hint="eastAsia"/>
          <w:b/>
          <w:bCs w:val="0"/>
        </w:rPr>
        <w:t>以精细管理之器 琢社会发展美玉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“言治骨角者，既切之而复磋之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治玉石者，既琢之而复磨之，治之已精，而益求其精也”。如能如切如磋，如琢如磨，自能美玉既出。社会的管理、社会的进步也正如美玉雕琢的过程一样，需要不断地推敲，深入地雕琢，精细化地治理，立足于细，才能让社会治理美玉既出，意味深远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精细化管理可见微知著，见小知彰——为社会治理安装定盘星。“蠹众而木折，隙大而墙坏”，任何小问题一旦“聚沙成塔，集腋成裘”，都必将如“蝼蚁溃穴”般，分崩离析，一泻千里。《黄帝内经》说：“上工治未病，不治已病，此之谓也”，治病于未发之时，扼问题于萌芽状态，才是大智所趋，才能防微杜渐，防范未然。而现代社会发展中，智能技术的运用，互联时代扑面而来，大数据深耕细作，则为社会健康运行装载精确导航，及时了解社会问题，明确社会发展方向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也为社会治理安装显微镜，洞悉世间百态，找准病根，精准治疗，做到见微而知著，见小而知彰。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精细化管理可博观约取，博采众长——为资源利用装上过滤器。</w:t>
      </w:r>
      <w:r>
        <w:rPr>
          <w:rFonts w:hint="eastAsia"/>
        </w:rPr>
        <w:t>当下从政府到社会，行政效能低下，机构臃肿</w:t>
      </w:r>
      <w:r>
        <w:rPr>
          <w:rFonts w:hint="eastAsia"/>
          <w:lang w:eastAsia="zh-CN"/>
        </w:rPr>
        <w:t>；</w:t>
      </w:r>
      <w:r>
        <w:rPr>
          <w:rFonts w:hint="eastAsia"/>
        </w:rPr>
        <w:t>治理杂乱无序，政策僵化，都直指资源配置不尽合理，而引发行政资源、社会资源、自然资源极大浪费。而精细化管理充分利用科学技术优势，将互联网与社会管理的不同环节进行深度融合，在浩瀚的资源宝库中，实现资源的深度挖掘，提高资源的利用效率，避免</w:t>
      </w:r>
      <w:r>
        <w:rPr>
          <w:rFonts w:hint="eastAsia"/>
          <w:b/>
          <w:bCs/>
        </w:rPr>
        <w:t>“盲目摊大饼，广洒胡椒面”</w:t>
      </w:r>
      <w:r>
        <w:rPr>
          <w:rFonts w:hint="eastAsia"/>
        </w:rPr>
        <w:t>的尴尬。通过精细化管理触发社会治理的“马太效应”，让社会的积极要素无限放大，让社会的消极因子及时摒除。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</w:rPr>
        <w:t>精细化管理可去粗取精，去伪存真——为道德重塑装上传感仪。</w:t>
      </w:r>
      <w:r>
        <w:rPr>
          <w:rFonts w:hint="eastAsia"/>
        </w:rPr>
        <w:t>市场经济快速发展为社会的物质进步提供强大内驱力，然而，社会问题也相伴而来，不断滋长。道德滑坡，诚信危机日益凸显，岌岌可危。“摔倒老人扶不扶”拷问的不仅是人心，考验的更是社会治理能力。社会中“英雄流血又流泪”的悲剧不在少数，不遵规崇德的现象也大有存在。故此，不仅需要政府宏观管理层面运筹帷幄，更需要政府在微观层面做好精准化的设计和落实。也唯有此，才能让失信成本增加，让诚信精神弘扬，让社会存正义，去虚伪，为崇高道德重塑传导新的价值理念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“天下大事必作于细”，社会管理更应如是。唯有精细化的社会管理，才能为社会问题精准把脉，才能为资源合理利用再添新枝，才能为社会发展传递正向力量，才能让社会进步做到“胸中有丘壑，凿石堆山河</w:t>
      </w:r>
      <w:r>
        <w:rPr>
          <w:rFonts w:hint="eastAsia"/>
          <w:b/>
          <w:bCs/>
          <w:lang w:eastAsia="zh-CN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144B6802"/>
    <w:rsid w:val="16CE1F0D"/>
    <w:rsid w:val="23C62AB3"/>
    <w:rsid w:val="2A6D4CF7"/>
    <w:rsid w:val="39DB4C90"/>
    <w:rsid w:val="3E427170"/>
    <w:rsid w:val="47EA0148"/>
    <w:rsid w:val="49807440"/>
    <w:rsid w:val="4FE35BB3"/>
    <w:rsid w:val="4FE72713"/>
    <w:rsid w:val="536A2708"/>
    <w:rsid w:val="611E7B7F"/>
    <w:rsid w:val="63E979AB"/>
    <w:rsid w:val="68620675"/>
    <w:rsid w:val="7B2B74FD"/>
    <w:rsid w:val="7C713F76"/>
    <w:rsid w:val="7F007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2018-08-27T08:55:10Z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