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十堰经济技术开发区综治中心</w:t>
      </w:r>
      <w:r>
        <w:rPr>
          <w:rFonts w:hint="eastAsia" w:ascii="方正小标宋简体" w:eastAsia="方正小标宋简体"/>
          <w:sz w:val="44"/>
          <w:szCs w:val="44"/>
        </w:rPr>
        <w:t>位置地图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十堰经济技术开发区综治中心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(十堰市白浪中路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83号原地税分局大楼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一楼大厅</w:t>
      </w:r>
    </w:p>
    <w:p>
      <w:pPr>
        <w:bidi w:val="0"/>
        <w:rPr>
          <w:rFonts w:hint="eastAsia"/>
        </w:rPr>
      </w:pPr>
      <w:r>
        <w:drawing>
          <wp:inline distT="0" distB="0" distL="114300" distR="114300">
            <wp:extent cx="5603875" cy="349377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8598" t="-101" r="8043" b="830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TJkYTcwNzgxMTJjMjI4MDA3NTJkNWYyNzE2MzEifQ=="/>
  </w:docVars>
  <w:rsids>
    <w:rsidRoot w:val="52495D24"/>
    <w:rsid w:val="524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缓缓</cp:lastModifiedBy>
  <dcterms:modified xsi:type="dcterms:W3CDTF">2022-06-27T07:12:00Z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66BF985FAD524F069FD78228A9BA8162</vt:lpwstr>
  </property>
</Properties>
</file>